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C1956" w:rsidRPr="00F709CD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709CD">
        <w:rPr>
          <w:rFonts w:ascii="Times New Roman" w:eastAsia="Times New Roman" w:hAnsi="Times New Roman" w:cs="Times New Roman"/>
          <w:b/>
          <w:sz w:val="24"/>
        </w:rPr>
        <w:t>Проектная декларация</w:t>
      </w:r>
    </w:p>
    <w:p w:rsidR="00DC1956" w:rsidRPr="00F709CD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709CD">
        <w:rPr>
          <w:rFonts w:ascii="Times New Roman" w:eastAsia="Times New Roman" w:hAnsi="Times New Roman" w:cs="Times New Roman"/>
          <w:b/>
          <w:sz w:val="24"/>
        </w:rPr>
        <w:t xml:space="preserve">в редакции от </w:t>
      </w:r>
      <w:r>
        <w:rPr>
          <w:rFonts w:ascii="Times New Roman" w:eastAsia="Times New Roman" w:hAnsi="Times New Roman" w:cs="Times New Roman"/>
          <w:b/>
          <w:sz w:val="24"/>
        </w:rPr>
        <w:t>31 августа</w:t>
      </w:r>
      <w:r w:rsidRPr="00F709CD">
        <w:rPr>
          <w:rFonts w:ascii="Times New Roman" w:eastAsia="Times New Roman" w:hAnsi="Times New Roman" w:cs="Times New Roman"/>
          <w:b/>
          <w:sz w:val="24"/>
        </w:rPr>
        <w:t xml:space="preserve"> 2018 г.</w:t>
      </w:r>
      <w:r w:rsidRPr="004804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040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040A">
        <w:rPr>
          <w:rFonts w:ascii="Times New Roman" w:eastAsia="Times New Roman" w:hAnsi="Times New Roman" w:cs="Times New Roman"/>
          <w:b/>
          <w:sz w:val="24"/>
        </w:rPr>
        <w:t xml:space="preserve"> на строительство Многоквартирного жилого дома со встроенными помещениями, встроенным объектом дошкольного образования и встроенной подземной автостоянкой </w:t>
      </w: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040A">
        <w:rPr>
          <w:rFonts w:ascii="Times New Roman" w:eastAsia="Times New Roman" w:hAnsi="Times New Roman" w:cs="Times New Roman"/>
          <w:b/>
          <w:sz w:val="24"/>
        </w:rPr>
        <w:t>по адресу: город Санкт-Петербург, улица Большая Зеленина дом 34</w:t>
      </w: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DC1956" w:rsidRPr="0048040A" w:rsidRDefault="00DC1956" w:rsidP="00DC195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  <w:sectPr w:rsidR="00DC1956" w:rsidRPr="0048040A" w:rsidSect="00890FAE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4"/>
        <w:gridCol w:w="9918"/>
      </w:tblGrid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Информация о застройщике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форма: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«Садко-Сити»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Краткое наименование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«Садко-Сити»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Индекс: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191123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Субъект Российской Федерации: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город Санкт-Петербург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Район субъекта Российской Федерации: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Центральный район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Вид населенного пункта: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 xml:space="preserve">город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Наименование населенного пункта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Санкт-Петербург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Элемент улично-дорожной сети </w:t>
            </w:r>
            <w:hyperlink w:anchor="P684" w:history="1"/>
            <w:r w:rsidRPr="0048040A">
              <w:rPr>
                <w:rFonts w:eastAsia="Times New Roman" w:cs="Calibri"/>
                <w:color w:val="0000FF"/>
                <w:szCs w:val="20"/>
                <w:lang w:eastAsia="ru-RU"/>
              </w:rPr>
              <w:t xml:space="preserve">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улица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Наименование элемента улично-дорожной сети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Радищева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Тип здания (сооружения) </w:t>
            </w: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дом 39 литер В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1.2.9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Тип помещений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Офис 63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1.3. О режиме работы застройщика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1.3.1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Рабочие дни недели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Понедельник - пятница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1.3.2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Рабочее время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09:00 -18.00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1.4.1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телефона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(812)332-50-60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1.4.2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Адрес электронной почты</w:t>
            </w:r>
          </w:p>
          <w:p w:rsidR="00DC1956" w:rsidRPr="00793105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val="en-US" w:eastAsia="ru-RU"/>
              </w:rPr>
              <w:t>info</w:t>
            </w:r>
            <w:r w:rsidRPr="0079310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b/>
                <w:szCs w:val="20"/>
                <w:lang w:val="en-US" w:eastAsia="ru-RU"/>
              </w:rPr>
              <w:t>dom</w:t>
            </w:r>
            <w:proofErr w:type="spellEnd"/>
            <w:r w:rsidRPr="0079310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szCs w:val="20"/>
                <w:lang w:val="en-US" w:eastAsia="ru-RU"/>
              </w:rPr>
              <w:t>zelenina</w:t>
            </w:r>
            <w:proofErr w:type="spellEnd"/>
            <w:r w:rsidRPr="0079310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C1956" w:rsidRPr="0048040A" w:rsidTr="00890FAE">
        <w:trPr>
          <w:trHeight w:val="651"/>
        </w:trPr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1.4.3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  <w:p w:rsidR="00DC1956" w:rsidRPr="00221233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221233">
              <w:rPr>
                <w:rFonts w:ascii="Calibri" w:eastAsia="Times New Roman" w:hAnsi="Calibri" w:cs="Calibri"/>
                <w:b/>
                <w:szCs w:val="20"/>
                <w:lang w:val="en-US" w:eastAsia="ru-RU"/>
              </w:rPr>
              <w:t>www.dom-zelenina.ru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1.5.1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Хатько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1.5.2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Александр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1.5.3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Отчество (при наличии)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Валерьевич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1.5.4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Наименование должности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Генеральный директор</w:t>
            </w:r>
          </w:p>
        </w:tc>
      </w:tr>
      <w:tr w:rsidR="00DC1956" w:rsidRPr="0048040A" w:rsidTr="00890FAE">
        <w:tc>
          <w:tcPr>
            <w:tcW w:w="3855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1.6.1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Коммерческое обозначение застройщика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ООО «Садко-Сити»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2.1.1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Индивидуальный номер налогоплательщика </w:t>
            </w:r>
            <w:r w:rsidRPr="0048040A">
              <w:rPr>
                <w:rFonts w:eastAsia="Times New Roman" w:cs="Calibri"/>
                <w:b/>
                <w:lang w:eastAsia="ru-RU"/>
              </w:rPr>
              <w:t>7842347729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2.1.2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Основной государственный регистрационный номер </w:t>
            </w:r>
            <w:r w:rsidRPr="0048040A">
              <w:rPr>
                <w:rFonts w:eastAsia="Times New Roman" w:cs="Calibri"/>
                <w:b/>
                <w:lang w:eastAsia="ru-RU"/>
              </w:rPr>
              <w:t>1069847534118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2.1.3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Год регистрации </w:t>
            </w:r>
            <w:r w:rsidRPr="0048040A">
              <w:rPr>
                <w:rFonts w:eastAsia="Times New Roman" w:cs="Calibri"/>
                <w:b/>
                <w:lang w:eastAsia="ru-RU"/>
              </w:rPr>
              <w:t>11.12.2006 г.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«СЕВЕРО-ЗАПАДНАЯ ИНВЕСТИЦИОННАЯ ГРУППА»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Индивидуальный номер налогоплательщика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 xml:space="preserve">7816598853 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% голосов в органе управления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100%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Фирменное наименование организации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Страна регистрации юридического лица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регистрации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Регистрационный номер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регистрирующего органа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Адрес (место нахождения) в стране регистрации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3.2.7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% голосов в органе управления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Фамилия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Имя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Отчество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Гражданство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Страна места жительства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3.3.6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% голосов в органе управления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объекта капитального строительства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Субъект Российской Федерации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Район субъекта Российской Федерации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населенного пункта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населенного пункта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Элемент улично-дорожной сети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элемента улично-дорожной сети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Тип здания (сооружения)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4.1.10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Срок ввода объекта капитального строительства в эксплуатацию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4.1.11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4.1.12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4.1.13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5.2. О членстве застройщика в иных некоммерческих организациях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5.2.2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>6.1.1</w:t>
            </w:r>
          </w:p>
        </w:tc>
        <w:tc>
          <w:tcPr>
            <w:tcW w:w="9918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E6FA4">
              <w:rPr>
                <w:rFonts w:eastAsia="Times New Roman" w:cs="Calibri"/>
                <w:szCs w:val="20"/>
                <w:lang w:eastAsia="ru-RU"/>
              </w:rPr>
              <w:t>Последняя отчетная дата</w:t>
            </w:r>
          </w:p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E6FA4">
              <w:rPr>
                <w:rFonts w:eastAsia="Times New Roman" w:cs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0</w:t>
            </w:r>
            <w:r w:rsidRPr="006E6FA4">
              <w:rPr>
                <w:rFonts w:eastAsia="Times New Roman" w:cs="Times New Roman"/>
                <w:b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06</w:t>
            </w:r>
            <w:r w:rsidRPr="006E6FA4">
              <w:rPr>
                <w:rFonts w:eastAsia="Times New Roman" w:cs="Times New Roman"/>
                <w:b/>
                <w:szCs w:val="20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>8</w:t>
            </w:r>
            <w:r w:rsidRPr="006E6FA4">
              <w:rPr>
                <w:rFonts w:eastAsia="Times New Roman" w:cs="Times New Roman"/>
                <w:b/>
                <w:szCs w:val="20"/>
                <w:lang w:eastAsia="ru-RU"/>
              </w:rPr>
              <w:t xml:space="preserve"> года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6E6FA4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>6.1.2</w:t>
            </w:r>
          </w:p>
        </w:tc>
        <w:tc>
          <w:tcPr>
            <w:tcW w:w="9918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E6FA4">
              <w:rPr>
                <w:rFonts w:eastAsia="Times New Roman" w:cs="Calibri"/>
                <w:szCs w:val="20"/>
                <w:lang w:eastAsia="ru-RU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rFonts w:eastAsia="Times New Roman" w:cs="Calibri"/>
                <w:b/>
                <w:szCs w:val="20"/>
                <w:lang w:eastAsia="ru-RU"/>
              </w:rPr>
              <w:t>106</w:t>
            </w:r>
            <w:r w:rsidRPr="006E6FA4">
              <w:rPr>
                <w:rFonts w:eastAsia="Times New Roman" w:cs="Calibri"/>
                <w:b/>
                <w:szCs w:val="20"/>
                <w:lang w:eastAsia="ru-RU"/>
              </w:rPr>
              <w:t xml:space="preserve"> тысяч рублей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6E6FA4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>6.1.3</w:t>
            </w:r>
          </w:p>
        </w:tc>
        <w:tc>
          <w:tcPr>
            <w:tcW w:w="9918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E6FA4">
              <w:rPr>
                <w:rFonts w:eastAsia="Times New Roman" w:cs="Calibri"/>
                <w:szCs w:val="20"/>
                <w:lang w:eastAsia="ru-RU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rFonts w:eastAsia="Times New Roman" w:cs="Calibri"/>
                <w:b/>
                <w:szCs w:val="20"/>
                <w:lang w:eastAsia="ru-RU"/>
              </w:rPr>
              <w:t>179 862</w:t>
            </w:r>
            <w:r w:rsidRPr="006E6FA4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6E6FA4">
              <w:rPr>
                <w:rFonts w:eastAsia="Times New Roman" w:cs="Calibri"/>
                <w:b/>
                <w:szCs w:val="20"/>
                <w:lang w:eastAsia="ru-RU"/>
              </w:rPr>
              <w:t>тысяч рублей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6E6FA4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6FA4">
              <w:rPr>
                <w:rFonts w:ascii="Calibri" w:eastAsia="Times New Roman" w:hAnsi="Calibri" w:cs="Calibri"/>
                <w:szCs w:val="20"/>
                <w:lang w:eastAsia="ru-RU"/>
              </w:rPr>
              <w:t>6.1.4</w:t>
            </w:r>
          </w:p>
        </w:tc>
        <w:tc>
          <w:tcPr>
            <w:tcW w:w="9918" w:type="dxa"/>
          </w:tcPr>
          <w:p w:rsidR="00DC1956" w:rsidRPr="006E6FA4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E6FA4">
              <w:rPr>
                <w:rFonts w:eastAsia="Times New Roman" w:cs="Calibri"/>
                <w:szCs w:val="20"/>
                <w:lang w:eastAsia="ru-RU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rFonts w:eastAsia="Times New Roman" w:cs="Calibri"/>
                <w:b/>
                <w:szCs w:val="20"/>
                <w:lang w:eastAsia="ru-RU"/>
              </w:rPr>
              <w:t>34 147</w:t>
            </w:r>
            <w:r w:rsidRPr="006E6FA4">
              <w:rPr>
                <w:rFonts w:eastAsia="Times New Roman" w:cs="Calibri"/>
                <w:b/>
                <w:szCs w:val="20"/>
                <w:lang w:eastAsia="ru-RU"/>
              </w:rPr>
              <w:t>тысяч рублей</w:t>
            </w:r>
          </w:p>
        </w:tc>
      </w:tr>
      <w:tr w:rsidR="00DC1956" w:rsidRPr="0048040A" w:rsidTr="00890FAE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C1956" w:rsidRPr="0048040A" w:rsidTr="00890FAE">
        <w:tc>
          <w:tcPr>
            <w:tcW w:w="3855" w:type="dxa"/>
            <w:vMerge w:val="restart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7.1. О соответствии застройщика требованиям, установленным </w:t>
            </w:r>
            <w:hyperlink r:id="rId4" w:history="1">
              <w:r w:rsidRPr="0048040A">
                <w:rPr>
                  <w:rFonts w:ascii="Calibri" w:eastAsia="Times New Roman" w:hAnsi="Calibri" w:cs="Calibri"/>
                  <w:szCs w:val="20"/>
                  <w:lang w:eastAsia="ru-RU"/>
                </w:rPr>
                <w:t>частью 2 статьи 3</w:t>
              </w:r>
            </w:hyperlink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7.1.1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Размер уставного (складочного) капитала застройщика установленным требованиям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7.1.2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Процедуры ликвидации юридического лица – застройщика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Не проводятся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7.1.3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single" w:sz="4" w:space="0" w:color="auto"/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7.1.4</w:t>
            </w:r>
          </w:p>
        </w:tc>
        <w:tc>
          <w:tcPr>
            <w:tcW w:w="9918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 w:val="restart"/>
            <w:tcBorders>
              <w:top w:val="nil"/>
              <w:bottom w:val="nil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7.1.7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  <w:bottom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7.1.8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 w:val="restart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7.1.9</w:t>
            </w:r>
          </w:p>
        </w:tc>
        <w:tc>
          <w:tcPr>
            <w:tcW w:w="9918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7.1.10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7.1.11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Отсутствует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  <w:bottom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7.1.12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</w:t>
            </w:r>
            <w:r w:rsidRPr="0048040A">
              <w:rPr>
                <w:rFonts w:eastAsia="Times New Roman" w:cs="Calibri"/>
                <w:szCs w:val="20"/>
                <w:lang w:eastAsia="ru-RU"/>
              </w:rPr>
              <w:t>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Н</w:t>
            </w: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е применялись</w:t>
            </w:r>
          </w:p>
        </w:tc>
      </w:tr>
      <w:tr w:rsidR="00DC1956" w:rsidRPr="0048040A" w:rsidTr="00890F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5" w:history="1">
              <w:r w:rsidRPr="0048040A">
                <w:rPr>
                  <w:rFonts w:ascii="Calibri" w:eastAsia="Times New Roman" w:hAnsi="Calibri" w:cs="Calibri"/>
                  <w:szCs w:val="20"/>
                  <w:lang w:eastAsia="ru-RU"/>
                </w:rPr>
                <w:t>частью 3 статьи 15.3</w:t>
              </w:r>
            </w:hyperlink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7.2.1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сопоручителей</w:t>
            </w:r>
            <w:proofErr w:type="spellEnd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сопоручителями</w:t>
            </w:r>
            <w:proofErr w:type="spellEnd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7.2.2</w:t>
            </w: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Процедуры ликвидации юридического лица - поручителя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single" w:sz="4" w:space="0" w:color="auto"/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7.2.3</w:t>
            </w:r>
          </w:p>
        </w:tc>
        <w:tc>
          <w:tcPr>
            <w:tcW w:w="9918" w:type="dxa"/>
            <w:tcBorders>
              <w:top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bottom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C1956" w:rsidRPr="0048040A" w:rsidTr="00890FAE">
        <w:tc>
          <w:tcPr>
            <w:tcW w:w="3855" w:type="dxa"/>
            <w:vMerge w:val="restart"/>
            <w:tcBorders>
              <w:top w:val="nil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Заявление об обжаловании указанных в пункте 7.2.8 недоимки, задолженности поручителя в установленном порядке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7.2.10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7.2.11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C1956" w:rsidRPr="0048040A" w:rsidTr="00890FAE">
        <w:tc>
          <w:tcPr>
            <w:tcW w:w="3855" w:type="dxa"/>
            <w:vMerge/>
            <w:tcBorders>
              <w:top w:val="nil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7.2.12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C1956" w:rsidRPr="0048040A" w:rsidTr="00890FAE">
        <w:tc>
          <w:tcPr>
            <w:tcW w:w="3855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8.1.1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Информация о проекте строительства 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040A4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40A49">
              <w:rPr>
                <w:rFonts w:ascii="Calibri" w:eastAsia="Times New Roman" w:hAnsi="Calibri" w:cs="Calibri"/>
                <w:szCs w:val="20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объектов капитального строительства, в отношении которых заполняется проектная декларация –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 (один)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Обоснование строительства нескольких объектов капитального </w:t>
            </w:r>
            <w:r w:rsidRPr="00040A49">
              <w:rPr>
                <w:rFonts w:ascii="Calibri" w:eastAsia="Times New Roman" w:hAnsi="Calibri" w:cs="Calibri"/>
                <w:szCs w:val="20"/>
                <w:lang w:eastAsia="ru-RU"/>
              </w:rPr>
              <w:t>строительства в пределах одного разрешения на строительство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9.2. </w:t>
            </w:r>
            <w:proofErr w:type="gramStart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 видах</w:t>
            </w:r>
            <w:proofErr w:type="gramEnd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Вид строящегося (создаваемого) объекта капитального строительства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Многоквартирный дом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Субъект Российской Федерации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город Санкт-Петербург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Район субъекта Российской Федерации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Петроградский район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населенного пункта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город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населенного пункта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Санкт-Петербург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Округ в населенном пункте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Муниципальный округ Чкаловский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Район в населенном пункте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Петроградский район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обозначения улицы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улица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Наименование улицы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Большая Зеленина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Дом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34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Литера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Корпус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Строение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Владение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Блок-секция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Уточнение адреса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Назначение объекта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Жилое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Минимальное количество этажей в объекте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 (в том числе 1 подземный)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9.2.19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Максимальное количество этажей в объекте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9 (в том числе 1 подземный)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Общая площадь объекта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13 356,03 кв.м.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Материал наружных стен и каркаса объекта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Наружные стены 1-2 этажей из керамического кирпича 250 мм, монолитного железобетона 160мм, утеплителя с последующей облицовкой или нанесением тонкослойной штукатурки. Наружные стены 3-8 этажей из керамического кирпича 120 мм, монолитного железобетона 160 мм, утеплителя с последующей тонкослойной штукатуркой. Каркас монолитный железобетон.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Материал перекрытий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Монолитные железобетонные</w:t>
            </w:r>
            <w:r w:rsidRPr="0048040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Класс энергоэффективности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В (Высокий)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9.2.24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 xml:space="preserve">Сейсмостойкость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Arial"/>
                <w:b/>
                <w:szCs w:val="20"/>
                <w:lang w:eastAsia="ru-RU"/>
              </w:rPr>
              <w:t>В соответствии с действующими СНИП Санкт-Петербург и Ленинградская область не являются сейсмически опасными районами и при проектировании степень сейсмостойкости не устанавливается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ED0F2B" w:rsidRDefault="00DC1956" w:rsidP="00890FAE">
            <w:pPr>
              <w:spacing w:after="200" w:line="276" w:lineRule="auto"/>
              <w:rPr>
                <w:rFonts w:eastAsiaTheme="minorEastAsia"/>
                <w:highlight w:val="yellow"/>
                <w:lang w:eastAsia="ru-RU"/>
              </w:rPr>
            </w:pPr>
            <w:r w:rsidRPr="006B4D6D">
              <w:rPr>
                <w:rFonts w:eastAsiaTheme="minorEastAsia"/>
                <w:lang w:eastAsia="ru-RU"/>
              </w:rPr>
              <w:t>9.3. О сумме общей площади всех жилых и нежилых помещений</w:t>
            </w:r>
          </w:p>
        </w:tc>
        <w:tc>
          <w:tcPr>
            <w:tcW w:w="964" w:type="dxa"/>
          </w:tcPr>
          <w:p w:rsidR="00DC1956" w:rsidRPr="00ED0F2B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yellow"/>
                <w:lang w:eastAsia="ru-RU"/>
              </w:rPr>
            </w:pPr>
            <w:r w:rsidRPr="00A30079">
              <w:rPr>
                <w:rFonts w:ascii="Calibri" w:eastAsia="Times New Roman" w:hAnsi="Calibri" w:cs="Calibri"/>
                <w:szCs w:val="20"/>
                <w:lang w:eastAsia="ru-RU"/>
              </w:rPr>
              <w:t>9.3.1.</w:t>
            </w:r>
          </w:p>
        </w:tc>
        <w:tc>
          <w:tcPr>
            <w:tcW w:w="9918" w:type="dxa"/>
          </w:tcPr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30079">
              <w:rPr>
                <w:rFonts w:eastAsia="Times New Roman" w:cs="Calibri"/>
                <w:szCs w:val="20"/>
                <w:lang w:eastAsia="ru-RU"/>
              </w:rPr>
              <w:t>Сумма общей площади всех жилых помещений</w:t>
            </w:r>
          </w:p>
          <w:p w:rsidR="00DC1956" w:rsidRPr="00ED0F2B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highlight w:val="yellow"/>
                <w:lang w:eastAsia="ru-RU"/>
              </w:rPr>
            </w:pPr>
            <w:r w:rsidRPr="00A30079">
              <w:rPr>
                <w:rFonts w:eastAsia="Times New Roman" w:cs="Calibri"/>
                <w:szCs w:val="20"/>
                <w:lang w:eastAsia="ru-RU"/>
              </w:rPr>
              <w:t>6988,52 кв.м. – без балконов/террас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ED0F2B" w:rsidRDefault="00DC1956" w:rsidP="00890FAE">
            <w:pPr>
              <w:spacing w:after="200" w:line="276" w:lineRule="auto"/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30079">
              <w:rPr>
                <w:rFonts w:ascii="Calibri" w:eastAsia="Times New Roman" w:hAnsi="Calibri" w:cs="Calibri"/>
                <w:szCs w:val="20"/>
                <w:lang w:eastAsia="ru-RU"/>
              </w:rPr>
              <w:t>9.3.2.</w:t>
            </w:r>
          </w:p>
        </w:tc>
        <w:tc>
          <w:tcPr>
            <w:tcW w:w="9918" w:type="dxa"/>
          </w:tcPr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30079">
              <w:rPr>
                <w:rFonts w:eastAsia="Times New Roman" w:cs="Calibri"/>
                <w:szCs w:val="20"/>
                <w:lang w:eastAsia="ru-RU"/>
              </w:rPr>
              <w:t>Сумма общей площади всех нежилых помещений</w:t>
            </w:r>
          </w:p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30079">
              <w:rPr>
                <w:rFonts w:eastAsia="Times New Roman" w:cs="Calibri"/>
                <w:szCs w:val="20"/>
                <w:lang w:eastAsia="ru-RU"/>
              </w:rPr>
              <w:t>2 745, 57 кв.м.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ED0F2B" w:rsidRDefault="00DC1956" w:rsidP="00890FAE">
            <w:pPr>
              <w:spacing w:after="200" w:line="276" w:lineRule="auto"/>
              <w:rPr>
                <w:rFonts w:eastAsiaTheme="minorEastAsia"/>
                <w:highlight w:val="yellow"/>
                <w:lang w:eastAsia="ru-RU"/>
              </w:rPr>
            </w:pPr>
          </w:p>
        </w:tc>
        <w:tc>
          <w:tcPr>
            <w:tcW w:w="964" w:type="dxa"/>
          </w:tcPr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30079">
              <w:rPr>
                <w:rFonts w:ascii="Calibri" w:eastAsia="Times New Roman" w:hAnsi="Calibri" w:cs="Calibri"/>
                <w:szCs w:val="20"/>
                <w:lang w:eastAsia="ru-RU"/>
              </w:rPr>
              <w:t>9.3.3.</w:t>
            </w:r>
          </w:p>
        </w:tc>
        <w:tc>
          <w:tcPr>
            <w:tcW w:w="9918" w:type="dxa"/>
          </w:tcPr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A30079">
              <w:rPr>
                <w:rFonts w:eastAsia="Times New Roman" w:cs="Calibri"/>
                <w:szCs w:val="20"/>
                <w:lang w:eastAsia="ru-RU"/>
              </w:rPr>
              <w:t>Су</w:t>
            </w:r>
            <w:r>
              <w:rPr>
                <w:rFonts w:eastAsia="Times New Roman" w:cs="Calibri"/>
                <w:szCs w:val="20"/>
                <w:lang w:eastAsia="ru-RU"/>
              </w:rPr>
              <w:t>м</w:t>
            </w:r>
            <w:r w:rsidRPr="00A30079">
              <w:rPr>
                <w:rFonts w:eastAsia="Times New Roman" w:cs="Calibri"/>
                <w:szCs w:val="20"/>
                <w:lang w:eastAsia="ru-RU"/>
              </w:rPr>
              <w:t>ма общей площади всех жилых и нежилых помещений</w:t>
            </w:r>
          </w:p>
          <w:p w:rsidR="00DC1956" w:rsidRPr="00A3007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9 734, 09 кв.м.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</w:t>
            </w:r>
            <w:r w:rsidRPr="0062379D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документации и результатах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договора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договора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заключения договора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Даты внесения изменений в договор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 xml:space="preserve">Общество с ограниченной ответственностью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«Геоизол»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7811077889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 xml:space="preserve">Общество с ограниченной ответственностью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«Аркона Инжиниринг»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7805594550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Открытое акционерное общество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«Трест ГРИИ»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7840434373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Закрытое акционерное общество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«Управление специальных строительных работ»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7839492740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Закрытое акционерное общество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«МЕТРОКОН»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10.3.6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7801008910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Вид заключения экспертизы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Times New Roman"/>
                <w:b/>
                <w:lang w:eastAsia="ru-RU"/>
              </w:rPr>
              <w:t>Положительное заключение негосударственной экспертизы проектной документации и инженерных изысканий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  <w:r w:rsidRPr="0048040A">
              <w:rPr>
                <w:rFonts w:eastAsia="Times New Roman" w:cs="Calibri"/>
                <w:b/>
                <w:lang w:eastAsia="ru-RU"/>
              </w:rPr>
              <w:t>24.09.2014г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 w:rsidRPr="0048040A">
              <w:rPr>
                <w:rFonts w:eastAsia="Times New Roman" w:cs="Calibri"/>
                <w:b/>
                <w:lang w:eastAsia="ru-RU"/>
              </w:rPr>
              <w:t>№ 4-1-1-0080-14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szCs w:val="20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48040A">
              <w:rPr>
                <w:rFonts w:eastAsia="Times New Roman" w:cs="Calibri"/>
                <w:b/>
                <w:szCs w:val="20"/>
                <w:lang w:eastAsia="ru-RU"/>
              </w:rPr>
              <w:t>«Управление экспертизы проектной документации и результатов инженерных изысканий»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10.4.6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7838497009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10.5.1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выдачи заключения государственной экологической экспертизы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10.5.2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заключения государственной экологической экспертизы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10.5.3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10.5.4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10.5.5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C1956" w:rsidRPr="0048040A" w:rsidTr="00890FAE">
        <w:tc>
          <w:tcPr>
            <w:tcW w:w="3855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10.6.1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Коммерческое обозначение, индивидуализирующее объект, группу объектов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«Дом на Зелейной»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11. О разрешении на строительство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 О разрешении на строительство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Номер разрешения на строительство </w:t>
            </w:r>
            <w:r w:rsidRPr="0048040A">
              <w:rPr>
                <w:rFonts w:eastAsia="Times New Roman" w:cs="Calibri"/>
                <w:b/>
                <w:lang w:eastAsia="ru-RU"/>
              </w:rPr>
              <w:t>78-013-0333-2015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Дата выдачи разрешения на строительство </w:t>
            </w:r>
            <w:r w:rsidRPr="0048040A">
              <w:rPr>
                <w:rFonts w:eastAsia="Times New Roman" w:cs="Calibri"/>
                <w:b/>
                <w:lang w:eastAsia="ru-RU"/>
              </w:rPr>
              <w:t>25.08.2015г.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Срок действия разрешения на строительство </w:t>
            </w:r>
            <w:r w:rsidRPr="0048040A">
              <w:rPr>
                <w:rFonts w:eastAsia="Times New Roman" w:cs="Calibri"/>
                <w:b/>
                <w:lang w:eastAsia="ru-RU"/>
              </w:rPr>
              <w:t>25.12.2018г.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>Последняя дата продления срока действия разрешения на строительство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48040A">
              <w:rPr>
                <w:rFonts w:eastAsia="Times New Roman" w:cs="Calibri"/>
                <w:b/>
                <w:lang w:eastAsia="ru-RU"/>
              </w:rPr>
              <w:t>25.09.2017 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11.1.5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Наименование органа, выдавшего разрешение на строительство </w:t>
            </w:r>
            <w:r w:rsidRPr="0048040A">
              <w:rPr>
                <w:rFonts w:eastAsia="Times New Roman" w:cs="Calibri"/>
                <w:b/>
                <w:lang w:eastAsia="ru-RU"/>
              </w:rPr>
              <w:t>Служба государственного строительного надзора и экспертизы Санкт-Петербурга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права застройщика на земельный участок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право собственности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Вид договора </w:t>
            </w:r>
            <w:r w:rsidRPr="0048040A">
              <w:rPr>
                <w:rFonts w:eastAsia="Times New Roman" w:cs="Times New Roman"/>
                <w:b/>
                <w:lang w:eastAsia="ru-RU"/>
              </w:rPr>
              <w:t>Договор купли-продажи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Номер договора, определяющего права застройщика на земельный участок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48040A">
              <w:rPr>
                <w:rFonts w:eastAsia="Times New Roman" w:cs="Calibri"/>
                <w:b/>
                <w:lang w:eastAsia="ru-RU"/>
              </w:rPr>
              <w:t>4265-ЗУ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 xml:space="preserve">Дата подписания договора, определяющего права застройщика на земельный участок </w:t>
            </w:r>
            <w:r w:rsidRPr="0048040A">
              <w:rPr>
                <w:rFonts w:eastAsia="Times New Roman" w:cs="Calibri"/>
                <w:b/>
                <w:lang w:eastAsia="ru-RU"/>
              </w:rPr>
              <w:t>17.04.2007г.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48040A">
              <w:rPr>
                <w:rFonts w:eastAsia="Times New Roman" w:cs="Calibri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48040A">
              <w:rPr>
                <w:rFonts w:eastAsia="Times New Roman" w:cs="Calibri"/>
                <w:b/>
                <w:lang w:eastAsia="ru-RU"/>
              </w:rPr>
              <w:t>25.05.2007 года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государственной регистрации изменений в договор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12.1.10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12.1.11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Дата государственной регистрации права собственности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Собственник земельного участка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highlight w:val="green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Застройщик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собственника земельного участка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Фамилия собственника земельного участка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Имя собственника земельного участка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Отчество собственника земельного участка (при наличии)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Форма собственности на земельный участок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12.2.9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органа, уполномоченного на распоряжение земельным участком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12.3. О кадастровом номере и площади земельного участка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12.3.1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Кадастровый номер земельного участка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78:07:0003200:1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12.3.2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Площадь земельного участка (с указанием единицы измерения)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2788 кв. м.</w:t>
            </w:r>
          </w:p>
        </w:tc>
      </w:tr>
      <w:tr w:rsidR="00DC1956" w:rsidRPr="0048040A" w:rsidTr="00890FAE">
        <w:tc>
          <w:tcPr>
            <w:tcW w:w="14737" w:type="dxa"/>
            <w:gridSpan w:val="3"/>
            <w:shd w:val="clear" w:color="auto" w:fill="auto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Проезды с плиточным покрытием – 302,4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Тротуары с плиточным покрытием – 208,8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Тротуары и отмостка с асфальтовым покрытием – 84,0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нет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Дворовое пространство на эксплуатируемой кровле подземной автостоянки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Заглубленный контейнер ТБО расположен на ЗУ строительства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Описание планируемых мероприятий по озеленению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Площадь озеленения – 391,7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, в том числе: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- площадь газона (в т.ч. по эксплуатируемой кровле 191,5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) – 292,5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- площадь набивного покрытия (на эксплуатируемой кровли) – 99,2 м</w:t>
            </w:r>
            <w:r w:rsidRPr="0048040A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t>2</w:t>
            </w: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безбарьерной</w:t>
            </w:r>
            <w:proofErr w:type="spellEnd"/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среды для маломобильных лиц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Соответствует 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13.1.8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Описание иных планируемых элементов благоустройства</w:t>
            </w:r>
          </w:p>
        </w:tc>
      </w:tr>
      <w:tr w:rsidR="00DC1956" w:rsidRPr="0048040A" w:rsidTr="00890FAE">
        <w:tc>
          <w:tcPr>
            <w:tcW w:w="14737" w:type="dxa"/>
            <w:gridSpan w:val="3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Электроснабжение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Электроснабжение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Открытое акционерное общество энергетики и электрификации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«Ленэнерго»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7803002209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30.09.2014г.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ОД-СПб-1677-14/27257-Э-14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01.</w:t>
            </w:r>
            <w:r w:rsidRPr="009F3D04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06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.201</w:t>
            </w:r>
            <w:r w:rsidRPr="009F3D04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8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 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29 343 193,54 руб., в том числе НДС 18% - 4 476 080,37 руб.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8040A">
              <w:rPr>
                <w:rFonts w:eastAsia="Times New Roman" w:cs="Times New Roman"/>
                <w:b/>
                <w:szCs w:val="20"/>
                <w:lang w:eastAsia="ru-RU"/>
              </w:rPr>
              <w:t>Теплоснабжение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Теплоснабжение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</w:t>
            </w:r>
            <w:proofErr w:type="spellStart"/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Петербургтеплоэнерго</w:t>
            </w:r>
            <w:proofErr w:type="spellEnd"/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7838024362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30.06.2014г.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03/8069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14.1.7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 w:rsidRPr="006A126F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28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.</w:t>
            </w:r>
            <w:r w:rsidRPr="006A126F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12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.2018г.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7 718 103,81 руб.</w:t>
            </w:r>
            <w:proofErr w:type="gramStart"/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,  в</w:t>
            </w:r>
            <w:proofErr w:type="gramEnd"/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 том числе НДС 18% - 1 177 337,87 руб.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Водоотведение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Водоотведение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Государственное унитарное предприятие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«Водоканал Санкт-Петербурга»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7830000426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28.07.2014г.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48-27-7266/14-4-1-ВО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14.1.7</w:t>
            </w:r>
          </w:p>
        </w:tc>
        <w:tc>
          <w:tcPr>
            <w:tcW w:w="9918" w:type="dxa"/>
          </w:tcPr>
          <w:p w:rsidR="00DC1956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highlight w:val="red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C1956" w:rsidRPr="00F46F90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F46F90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На период строительства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1 611 054,00 руб., в том числе НДС 18% - 245754,00 руб.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Водоснабжение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Водоснабжение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Государственное унитарное предприятие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«Водоканал Санкт-Петербурга»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7830000426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14.1.5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28.07.2014г.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14.1.6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48-27-7266/14-4-1-ВС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14.1.7</w:t>
            </w:r>
          </w:p>
        </w:tc>
        <w:tc>
          <w:tcPr>
            <w:tcW w:w="9918" w:type="dxa"/>
          </w:tcPr>
          <w:p w:rsidR="00DC1956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highlight w:val="red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DC1956" w:rsidRPr="00651183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651183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На период строительства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14.1.8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7 400 170,00 руб., в том числе НДС 18% 1 128 829,54 руб.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14.2. О планируемом подключении к сетям связи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Интернет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Интернет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«Невалинк»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7802319940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48040A">
              <w:rPr>
                <w:rFonts w:eastAsiaTheme="minorEastAsia"/>
                <w:lang w:eastAsia="ru-RU"/>
              </w:rPr>
              <w:t xml:space="preserve">14.2. О планируемом подключении к сетям связи </w:t>
            </w:r>
          </w:p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48040A">
              <w:rPr>
                <w:rFonts w:eastAsia="Times New Roman" w:cs="Times New Roman"/>
                <w:b/>
                <w:lang w:eastAsia="ru-RU"/>
              </w:rPr>
              <w:t>Радиофикация, радиоканальное оповещение на пульт 01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Радиосети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 w:val="17"/>
                <w:szCs w:val="17"/>
                <w:shd w:val="clear" w:color="auto" w:fill="FFFFFF"/>
                <w:lang w:eastAsia="ru-RU"/>
              </w:rPr>
              <w:t> 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Федеральное государственное унитарное предприятия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48040A">
              <w:rPr>
                <w:rFonts w:ascii="Arial" w:eastAsia="Times New Roman" w:hAnsi="Arial" w:cs="Arial"/>
                <w:b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Российские сети вещания и оповещения"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7712005121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14.2. О планируемом подключении к сетям связи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  <w:r w:rsidRPr="0048040A">
              <w:rPr>
                <w:rFonts w:eastAsiaTheme="minorEastAsia"/>
                <w:b/>
                <w:lang w:eastAsia="ru-RU"/>
              </w:rPr>
              <w:t>Телефонизация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Вид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Телефонные сети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«Невалинк»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7802319940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14.2. О планируемом подключении к сетям связи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  <w:r w:rsidRPr="0048040A">
              <w:rPr>
                <w:rFonts w:eastAsiaTheme="minorEastAsia"/>
                <w:b/>
                <w:lang w:eastAsia="ru-RU"/>
              </w:rPr>
              <w:t>Телевидение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Вид сети связи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 Сети телевидения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14.2.3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«Невалинк»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color w:val="FF0000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14.2.4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7802319940</w:t>
            </w:r>
          </w:p>
        </w:tc>
      </w:tr>
      <w:tr w:rsidR="00DC1956" w:rsidRPr="0048040A" w:rsidTr="00890FAE">
        <w:tc>
          <w:tcPr>
            <w:tcW w:w="14737" w:type="dxa"/>
            <w:gridSpan w:val="3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</w:t>
            </w:r>
            <w:r w:rsidRPr="00B72A5F">
              <w:rPr>
                <w:rFonts w:ascii="Calibri" w:eastAsia="Times New Roman" w:hAnsi="Calibri" w:cs="Calibri"/>
                <w:szCs w:val="20"/>
                <w:lang w:eastAsia="ru-RU"/>
              </w:rPr>
              <w:t>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</w:p>
        </w:tc>
      </w:tr>
      <w:tr w:rsidR="00DC1956" w:rsidRPr="0048040A" w:rsidTr="00890FAE">
        <w:tc>
          <w:tcPr>
            <w:tcW w:w="3855" w:type="dxa"/>
            <w:vMerge w:val="restart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15.1.1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Количество жилых помещений 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92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15.1.2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нежилых помещений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11</w:t>
            </w:r>
          </w:p>
        </w:tc>
      </w:tr>
      <w:tr w:rsidR="00DC1956" w:rsidRPr="0048040A" w:rsidTr="00890FAE">
        <w:tc>
          <w:tcPr>
            <w:tcW w:w="3855" w:type="dxa"/>
            <w:vMerge/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15.1.2.1</w:t>
            </w:r>
          </w:p>
        </w:tc>
        <w:tc>
          <w:tcPr>
            <w:tcW w:w="9918" w:type="dxa"/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 том числе машино-мест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56</w:t>
            </w:r>
          </w:p>
        </w:tc>
      </w:tr>
      <w:tr w:rsidR="00DC1956" w:rsidRPr="0048040A" w:rsidTr="00890FAE">
        <w:trPr>
          <w:trHeight w:val="736"/>
        </w:trPr>
        <w:tc>
          <w:tcPr>
            <w:tcW w:w="3855" w:type="dxa"/>
            <w:vMerge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15.1.2.2</w:t>
            </w:r>
          </w:p>
        </w:tc>
        <w:tc>
          <w:tcPr>
            <w:tcW w:w="9918" w:type="dxa"/>
            <w:tcBorders>
              <w:bottom w:val="single" w:sz="4" w:space="0" w:color="auto"/>
            </w:tcBorders>
          </w:tcPr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szCs w:val="20"/>
                <w:lang w:eastAsia="ru-RU"/>
              </w:rPr>
              <w:t>в том числе иных нежилых помещений</w:t>
            </w:r>
          </w:p>
          <w:p w:rsidR="00DC1956" w:rsidRPr="0048040A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48040A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Объект дошкольного образования</w:t>
            </w:r>
          </w:p>
        </w:tc>
      </w:tr>
    </w:tbl>
    <w:p w:rsidR="00DC1956" w:rsidRDefault="00DC1956" w:rsidP="00DC1956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DC1956" w:rsidRPr="00A4257D" w:rsidTr="00890FAE">
        <w:tc>
          <w:tcPr>
            <w:tcW w:w="14804" w:type="dxa"/>
          </w:tcPr>
          <w:tbl>
            <w:tblPr>
              <w:tblW w:w="14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04"/>
              <w:gridCol w:w="360"/>
              <w:gridCol w:w="1917"/>
              <w:gridCol w:w="1861"/>
              <w:gridCol w:w="7"/>
              <w:gridCol w:w="1835"/>
              <w:gridCol w:w="1077"/>
              <w:gridCol w:w="7"/>
              <w:gridCol w:w="476"/>
              <w:gridCol w:w="2147"/>
              <w:gridCol w:w="3788"/>
            </w:tblGrid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15.2. Об основных характеристиках жилых помещений</w:t>
                  </w:r>
                </w:p>
              </w:tc>
            </w:tr>
            <w:tr w:rsidR="00DC1956" w:rsidRPr="00A4257D" w:rsidTr="00890FAE">
              <w:trPr>
                <w:trHeight w:val="806"/>
              </w:trPr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Условный номер &lt;59&gt;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Общая площадь, м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Количество комнат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43,15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59,20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93,40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43,05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59,24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93,36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42,99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59,24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93,32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114,66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110,27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102,08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62,81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54,67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114,66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114,96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124,04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68,06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54,62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114,59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114,91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125,10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67,94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54,58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129,77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114,87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63,51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60,71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67,82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54,52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108,43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105,98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62,30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59,54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67,70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54,49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78,85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105,85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65,15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59,88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67,61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54,33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112,89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56,42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53,91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67,50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54,31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54,65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83,13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123,00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118,08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54,61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93,73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62,99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76,23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117,96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54,59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94,13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63,56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76,23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117,86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54,52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93,57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76,23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117,76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54,47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91,35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110,98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93,24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54,32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91,94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118,21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64,44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54,30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86,22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105,76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62,99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48,26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48,69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48,46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58,13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62,92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48,26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48,62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48,40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58,05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62,84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48,17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48,56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48,33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62,84</w:t>
                  </w:r>
                </w:p>
              </w:tc>
              <w:tc>
                <w:tcPr>
                  <w:tcW w:w="5935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15.3. Об основных характеристиках нежилых помещений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  <w:vMerge w:val="restart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Условный номер &lt;59&gt;</w:t>
                  </w:r>
                </w:p>
              </w:tc>
              <w:tc>
                <w:tcPr>
                  <w:tcW w:w="1917" w:type="dxa"/>
                  <w:vMerge w:val="restart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1861" w:type="dxa"/>
                  <w:vMerge w:val="restart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Этаж расположения</w:t>
                  </w:r>
                </w:p>
              </w:tc>
              <w:tc>
                <w:tcPr>
                  <w:tcW w:w="1842" w:type="dxa"/>
                  <w:gridSpan w:val="2"/>
                  <w:vMerge w:val="restart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1077" w:type="dxa"/>
                  <w:vMerge w:val="restart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Площадь, м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6418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Площадь частей нежилого помещения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  <w:vMerge/>
                </w:tcPr>
                <w:p w:rsidR="00DC1956" w:rsidRPr="00A4257D" w:rsidRDefault="00DC1956" w:rsidP="00890FAE">
                  <w:pPr>
                    <w:spacing w:after="200" w:line="276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917" w:type="dxa"/>
                  <w:vMerge/>
                </w:tcPr>
                <w:p w:rsidR="00DC1956" w:rsidRPr="00A4257D" w:rsidRDefault="00DC1956" w:rsidP="00890FAE">
                  <w:pPr>
                    <w:spacing w:after="200" w:line="276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861" w:type="dxa"/>
                  <w:vMerge/>
                </w:tcPr>
                <w:p w:rsidR="00DC1956" w:rsidRPr="00A4257D" w:rsidRDefault="00DC1956" w:rsidP="00890FAE">
                  <w:pPr>
                    <w:spacing w:after="200" w:line="276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vMerge/>
                </w:tcPr>
                <w:p w:rsidR="00DC1956" w:rsidRPr="00A4257D" w:rsidRDefault="00DC1956" w:rsidP="00890FAE">
                  <w:pPr>
                    <w:spacing w:after="200" w:line="276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077" w:type="dxa"/>
                  <w:vMerge/>
                </w:tcPr>
                <w:p w:rsidR="00DC1956" w:rsidRPr="00A4257D" w:rsidRDefault="00DC1956" w:rsidP="00890FAE">
                  <w:pPr>
                    <w:spacing w:after="200" w:line="276" w:lineRule="auto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Площадь, м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104,34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89,36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128,35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7,68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111,17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6,92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2,58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Н-3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149,76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7,00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135,41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2,45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Н-4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98,24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7,00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83,84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2,49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Н-5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119,14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7,68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99,73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7,45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4,28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81,83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68,39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6,00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2,31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Н-7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59,43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6,90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44,22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4,95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3,36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Н-8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60,39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5,04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46,12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4,95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4,28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Н-9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56,89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5,22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43,38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4,88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3,41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Н-10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57,47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5,30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43,33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3,82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Н-11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коммерческое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100,74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4,83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Офис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88,10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С/у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4,95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уборочного инвентаря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2,86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Н-12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Встроенный объект дошкольного образования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83,31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Место для раздевания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11,27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38,38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Туалет для детей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7,68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Туалет для персонала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4,20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10,49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4,33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6,96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Подземная автостоянка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001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автостоянка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Автостоянка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1608,51</w:t>
                  </w:r>
                </w:p>
              </w:tc>
            </w:tr>
            <w:tr w:rsidR="00DC1956" w:rsidRPr="00A4257D" w:rsidTr="00890FAE">
              <w:tc>
                <w:tcPr>
                  <w:tcW w:w="1564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026</w:t>
                  </w:r>
                </w:p>
              </w:tc>
              <w:tc>
                <w:tcPr>
                  <w:tcW w:w="191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 помещение автостоянки</w:t>
                  </w:r>
                </w:p>
              </w:tc>
              <w:tc>
                <w:tcPr>
                  <w:tcW w:w="1861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1842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для хранения люминесцентных ламп автостоянки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37,17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2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</w:t>
                  </w:r>
                  <w:r w:rsidRPr="00B72A5F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площади, перечень технологического и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инженерного оборудования, предназначенного для обслуживания более чем одного помещения в данном доме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16.1. Перечень помещений общего пользования с указанием их назначения и площади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 п\п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Вид помещения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Назначение помещения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Площадь, м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Водомерный узел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15,80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25,00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Лифтовой холл №1 с зоной безопасности для МНГ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8,15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АПС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3,20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Приточная венткамера автостоянки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23,24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007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Венткамера подпора в тамбур-шлюз №1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17,70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ИТП №1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33,84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15,454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ИТП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23,25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ИТП №3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15,25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Венткамера подпора в тамбур-шлюз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17,38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24,15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Лифтовой холл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10,55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АПС №1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9,73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019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Тамбур-шлюз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16,34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Лифтовой холл №3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АПС №3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14,12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Вытяжная венткамера автостоянки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АПС №4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Лифтовой холл №4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029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Тамбур-шлюз №4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3,90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№4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23,80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Венткамера подпора в тамбур-шлюз №3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для хранения уборочной техники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28,05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АУПТ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39,00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Насосная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30,60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№2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№3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038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ИТП №4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15,15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охраны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10,34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Электрощитовая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16,60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слаботочных систем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21,32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116/166.1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64,50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Колясочная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7,20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Пом. Уборочного инвентаря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4,25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Пом. Диспетчерской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12,19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Помещение для временного хранения мусора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Техническое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11,91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Вестибюль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54,86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Колясочная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9,90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Санузел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3,59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Санузел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4,00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7,72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7,72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Тамбур-шлюз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Тамбур-шлюз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5,06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Л1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25,65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12,50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32,19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6,98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Л6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10,19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1-2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13,37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1-2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15,86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15,86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4-2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33,23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4-2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21,60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1-3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13,37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1-3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4-3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33,23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4-3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21,60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1-4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13,37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1-4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1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407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408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409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4-4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33,23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4-4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 этаж 4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21,60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30,10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3-5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29,24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3-6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32,40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29,24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3-7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801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2-8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25,06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2-8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8,22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803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2-8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2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804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Коридор 3-8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18,74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805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Тамбур 3-8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7,46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806</w:t>
                  </w:r>
                </w:p>
              </w:tc>
              <w:tc>
                <w:tcPr>
                  <w:tcW w:w="2277" w:type="dxa"/>
                  <w:gridSpan w:val="2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Лестница 3-8</w:t>
                  </w:r>
                </w:p>
              </w:tc>
              <w:tc>
                <w:tcPr>
                  <w:tcW w:w="4780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 этаж 3 секция</w:t>
                  </w:r>
                </w:p>
              </w:tc>
              <w:tc>
                <w:tcPr>
                  <w:tcW w:w="2630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Нежилое</w:t>
                  </w:r>
                </w:p>
              </w:tc>
              <w:tc>
                <w:tcPr>
                  <w:tcW w:w="3788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15,95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3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16.2. </w:t>
                  </w:r>
                  <w:r w:rsidRPr="00B72A5F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Перечень технологического и инженерного</w:t>
                  </w: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оборудования, предназначенного для обслуживания более чем одного помещения в данном доме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N п\п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Описание места расположения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Вид оборудования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Назначение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B72A5F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Отопление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Оборудование ИТП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Отопление, приготовление ГВС и учет тепловой энергии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Магистральная разводка систем отопления и теплоснабжения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Распределение потока теплоносителя по магистральным стоякам отопления жилой части, системам </w:t>
                  </w:r>
                  <w:proofErr w:type="gramStart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отопления  встроенных</w:t>
                  </w:r>
                  <w:proofErr w:type="gramEnd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помещений, встроенного объекта дошкольного образования и автостоянки здания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Магистральные стояки системы отопления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Распределение потока теплоносителя по квартирам и МОП для поддержания нормативной температуры воздуха.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Вентиляция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Оборудование вентиляции технических помещений и МОП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Обеспечение нормативного воздухообмена в указанных помещениях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Оборудование вентиляции технических помещений и МОП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Обеспечение нормативного воздухообмена в указанных помещениях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Жилые этажи здания (2-8)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Система вентиляции жилых квартир, система противодымной защиты МОП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Обеспечение нормативного воздухообмена в квартирах, </w:t>
                  </w:r>
                  <w:proofErr w:type="spellStart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дымозащита</w:t>
                  </w:r>
                  <w:proofErr w:type="spellEnd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МОП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Водоснабжение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Водомерный узел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коммерческого учета расхода воды здания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Насосная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Обеспечение требуемого напора в системах водоснабжения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 конструкциях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Трубопроводы ХВС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подачи холодной воды потребителю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 конструкциях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Трубопроводы ГВС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подачи горячей воды потребителю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 всему зданию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Запорная арматура ХВС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обеспечения планового обслуживания и ремонта системы ХВС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 всему зданию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Регулирующая арматура ХВС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обеспечения расхода, напора и температуры воды в соответствии с требованиями норм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 всему зданию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Запорная арматура ГВС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обеспечения планового обслуживания и ремонта системы ГВС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 всему зданию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Регулирующая арматура ГВС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обеспечения расхода, напора и температуры воды в соответствии с требованиями норм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Канализация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 всему зданию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Трубопроводы бытовой канализации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отвода бытовых стоков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 и 1 этаж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Трапы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отвода воды с пола помещений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Насосы приямков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отвода воды из приямков технических помещений и автостоянки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Подвал, 2 и 3 секции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Трубопроводы внутренних водостоков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отвода дождевых и талых вод с плоской и эксплуатируемых кровель здания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Плоские, скатные и эксплуатируемые кровли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Водосточные воронки с подогревом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приема талых и дождевых вод с кровли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Дождеприемные колодцы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Фильтр-патроны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очистки дождевого и талого стока с территории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Контрольные канализационные колодцы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Запорная арматура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контроля системы канализации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АПС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Подвал, автостоянка, встроенные помещения, жилые этажи, встроенный объект дошкольного образования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 продукция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передачи данных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Подвал, встроенные помещения, автостоянка, жилые этажи </w:t>
                  </w:r>
                  <w:proofErr w:type="gramStart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здания,  встроенный</w:t>
                  </w:r>
                  <w:proofErr w:type="gramEnd"/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 объект дошкольного образования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Оборудование АПС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Определение мест возгорания или задымления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Диспетчерская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Блоки индикации. АРМ.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Информирование о нештатных ситуациях, задымлении, возгорании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СКУД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Надземные этажи здания.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 продукция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передачи данных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Блоки распределения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Коммутация и распределение сигналов по потребителям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Основные входы в жилую часть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Вызывные панели 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Вызов абонента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Подвал, 1 этаж жилой части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Считыватели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Передача сигнала на контроллер доступа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Подвал, 1 этаж жилой части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Контроллеры доступа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определения разрешения доступа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Подвал, 1 этаж жилой части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Электромагнитные замки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Открытие дверей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Диспетчерская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Контроллеры доступа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определения разрешения доступа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Телефон, телевидение, интернет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Жилые этажи здания.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 продукция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передачи данных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Жилые этажи здания.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Оборудование в поэтажных шкафах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Преобразование сигналов. Распределение сигналов.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Диспетчеризация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Надземные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 продукция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передачи данных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Щиты с оборудованием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Управление и информирование о неисправностях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Диспетчерская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Пульт диспетчера. АРМ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Отображение принятой информации и связь с контролируемой точкой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АОВ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Надземные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Кабельная продукция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передачи данных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 xml:space="preserve">Щиты, контроллеры, автоматы 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Управление вентиляционным оборудованием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Трубные раскладки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Надземные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Трубы в монолитных перекрытиях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прокладки кабелей</w:t>
                  </w:r>
                </w:p>
              </w:tc>
            </w:tr>
            <w:tr w:rsidR="00DC1956" w:rsidRPr="00A4257D" w:rsidTr="00890FAE">
              <w:tc>
                <w:tcPr>
                  <w:tcW w:w="14679" w:type="dxa"/>
                  <w:gridSpan w:val="11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Электроснабжение и электроосвещение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Подвал. Надземные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Кабеленесущие системы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укладки кабельных линий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1 этаж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Главный распределительный щит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электроснабжения здания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Подвал и 1 этаж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Щиты электроснабжения инженерного оборудования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электроснабжения инженерного оборудования</w:t>
                  </w:r>
                </w:p>
              </w:tc>
            </w:tr>
            <w:tr w:rsidR="00DC1956" w:rsidRPr="00A4257D" w:rsidTr="00890FAE">
              <w:tc>
                <w:tcPr>
                  <w:tcW w:w="1204" w:type="dxa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145" w:type="dxa"/>
                  <w:gridSpan w:val="4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Жилые этажи здания</w:t>
                  </w:r>
                </w:p>
              </w:tc>
              <w:tc>
                <w:tcPr>
                  <w:tcW w:w="2919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Щиты этажные</w:t>
                  </w:r>
                </w:p>
              </w:tc>
              <w:tc>
                <w:tcPr>
                  <w:tcW w:w="6411" w:type="dxa"/>
                  <w:gridSpan w:val="3"/>
                </w:tcPr>
                <w:p w:rsidR="00DC1956" w:rsidRPr="00A4257D" w:rsidRDefault="00DC1956" w:rsidP="00890FA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</w:pPr>
                  <w:r w:rsidRPr="00A4257D">
                    <w:rPr>
                      <w:rFonts w:ascii="Calibri" w:eastAsia="Times New Roman" w:hAnsi="Calibri" w:cs="Calibri"/>
                      <w:szCs w:val="20"/>
                      <w:lang w:eastAsia="ru-RU"/>
                    </w:rPr>
                    <w:t>Для электроснабжения потребителей</w:t>
                  </w:r>
                </w:p>
              </w:tc>
            </w:tr>
          </w:tbl>
          <w:p w:rsidR="00DC1956" w:rsidRPr="00A4257D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green"/>
                <w:lang w:eastAsia="ru-RU"/>
              </w:rPr>
            </w:pPr>
          </w:p>
        </w:tc>
      </w:tr>
    </w:tbl>
    <w:p w:rsidR="00DC1956" w:rsidRPr="00A4257D" w:rsidRDefault="00DC1956" w:rsidP="00DC1956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4"/>
        <w:gridCol w:w="740"/>
        <w:gridCol w:w="4592"/>
        <w:gridCol w:w="4653"/>
      </w:tblGrid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Этап реализации проекта строительства 20% готовности 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 квартал 2016г.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17.1.3.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Этап реализации проекта строительства 40% готовности 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17.1.4.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red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 квартал 2017г.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17.1.5.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red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Этап реализации проекта строительства 60% готовности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17.1.6.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 квартал 2017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17.1.7.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Этап реализации проекта строительства 80% готовности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17.1.8.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2 квартал 2018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17.1.9.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Этап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17.1.10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4 квартал 2018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C1956" w:rsidRPr="00112919" w:rsidTr="00890FAE">
        <w:tc>
          <w:tcPr>
            <w:tcW w:w="3855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18.1.1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Планируемая стоимость строительства (руб.)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1 025 262 тыс. руб.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эскроу</w:t>
            </w:r>
            <w:proofErr w:type="spellEnd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, об уплате обязательных отчислений (взносов) застройщика в компенсационный фонд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19.1.1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12919">
              <w:rPr>
                <w:rFonts w:eastAsia="Times New Roman" w:cs="Calibri"/>
                <w:szCs w:val="20"/>
                <w:lang w:eastAsia="ru-RU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12919">
              <w:rPr>
                <w:rFonts w:eastAsia="Times New Roman" w:cs="Times New Roman"/>
                <w:b/>
                <w:szCs w:val="20"/>
                <w:lang w:eastAsia="ru-RU"/>
              </w:rPr>
              <w:t>Страхование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19.1.2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12919">
              <w:rPr>
                <w:rFonts w:eastAsia="Times New Roman" w:cs="Calibri"/>
                <w:szCs w:val="20"/>
                <w:lang w:eastAsia="ru-RU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szCs w:val="20"/>
                <w:lang w:eastAsia="ru-RU"/>
              </w:rPr>
            </w:pPr>
            <w:r w:rsidRPr="00112919">
              <w:rPr>
                <w:rFonts w:eastAsia="Times New Roman" w:cs="Calibri"/>
                <w:b/>
                <w:szCs w:val="20"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эскроу</w:t>
            </w:r>
            <w:proofErr w:type="spellEnd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19.2.1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эскроу</w:t>
            </w:r>
            <w:proofErr w:type="spellEnd"/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19.2.2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эскроу</w:t>
            </w:r>
            <w:proofErr w:type="spellEnd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, без указания организационно-правовой формы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19.2.3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эскроу</w:t>
            </w:r>
            <w:proofErr w:type="spellEnd"/>
          </w:p>
        </w:tc>
      </w:tr>
      <w:tr w:rsidR="00DC1956" w:rsidRPr="00112919" w:rsidTr="00890FAE">
        <w:tc>
          <w:tcPr>
            <w:tcW w:w="3855" w:type="dxa"/>
          </w:tcPr>
          <w:p w:rsidR="00DC1956" w:rsidRPr="00B72A5F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B72A5F">
              <w:rPr>
                <w:rFonts w:eastAsiaTheme="minorEastAsia"/>
                <w:lang w:eastAsia="ru-RU"/>
              </w:rP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964" w:type="dxa"/>
          </w:tcPr>
          <w:p w:rsidR="00DC1956" w:rsidRPr="00B72A5F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2A5F">
              <w:rPr>
                <w:rFonts w:ascii="Calibri" w:eastAsia="Times New Roman" w:hAnsi="Calibri" w:cs="Calibri"/>
                <w:szCs w:val="20"/>
                <w:lang w:eastAsia="ru-RU"/>
              </w:rPr>
              <w:t>19.3.1.</w:t>
            </w:r>
          </w:p>
        </w:tc>
        <w:tc>
          <w:tcPr>
            <w:tcW w:w="9985" w:type="dxa"/>
            <w:gridSpan w:val="3"/>
          </w:tcPr>
          <w:p w:rsidR="00DC1956" w:rsidRPr="00B72A5F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72A5F">
              <w:rPr>
                <w:rFonts w:ascii="Calibri" w:eastAsia="Times New Roman" w:hAnsi="Calibri" w:cs="Calibri"/>
                <w:szCs w:val="20"/>
                <w:lang w:eastAsia="ru-RU"/>
              </w:rPr>
              <w:t>Уплата обязательных отчислений (взносов) в компенсационный фонд</w:t>
            </w:r>
          </w:p>
          <w:p w:rsidR="00DC1956" w:rsidRPr="00B72A5F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DC1956" w:rsidRPr="00384A05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384A05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Не требуется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 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Times New Roman"/>
                <w:b/>
                <w:lang w:eastAsia="ru-RU"/>
              </w:rPr>
              <w:t>Кредитный договор № 04-2016/К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30 000 000,00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01.02.2019г.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Кредитный договор № 09-2016/К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20 000 000,00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24.02.2019г.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Договор об открытии кредитной линии № 23-2016/КЛВ (с лимитом выдачи)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20 000 000,00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10.06.2019г.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Договор об открытии кредитной линии № 27-2016/КЛВ (с лимитом выдачи)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15 000 000,00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23.08.2019г.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Кредитный договор № 32-2016/К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5 000 000,00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04.10.2019г.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Кредитный договор № 39-2016/К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8 000 000,00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02.11.2019г.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 xml:space="preserve"> Кредитный договор № 09-2017/К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4 300 000,00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27.02.2018 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20.1.1.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Кредитный договор № 34-2017/К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20.1.2.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20.1.3.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20.1.4. 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20.1.5. 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10 000 000,00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20.1.6. 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17.10.2020г.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20.1.7. 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spacing w:after="200" w:line="276" w:lineRule="auto"/>
              <w:rPr>
                <w:rFonts w:eastAsia="Times New Roman" w:cs="Times New Roman"/>
                <w:lang w:eastAsia="ru-RU"/>
              </w:rPr>
            </w:pPr>
            <w:r w:rsidRPr="00112919">
              <w:rPr>
                <w:rFonts w:eastAsiaTheme="minorEastAsia"/>
                <w:lang w:eastAsia="ru-RU"/>
              </w:rPr>
              <w:t xml:space="preserve">20.1. </w:t>
            </w:r>
            <w:r w:rsidRPr="00112919">
              <w:rPr>
                <w:rFonts w:eastAsia="Times New Roman" w:cs="Times New Roman"/>
                <w:lang w:eastAsia="ru-RU"/>
              </w:rPr>
              <w:t>Об иных соглашениях и о сделках, на основании которых привлекаются денежные средства для строительства (создания) многоквартирного дома и</w:t>
            </w:r>
            <w:r w:rsidRPr="00112919">
              <w:rPr>
                <w:rFonts w:eastAsiaTheme="minorEastAsia" w:cs="Times New Roman"/>
                <w:lang w:eastAsia="ru-RU"/>
              </w:rPr>
              <w:t xml:space="preserve"> (или</w:t>
            </w:r>
            <w:r w:rsidRPr="00112919">
              <w:rPr>
                <w:rFonts w:eastAsia="Times New Roman" w:cs="Times New Roman"/>
                <w:lang w:eastAsia="ru-RU"/>
              </w:rPr>
              <w:t>) иного объекта недвижимости</w:t>
            </w:r>
          </w:p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20.1.1.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Вид соглашения или сделки 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Кредитный договор № 3</w:t>
            </w:r>
            <w:r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9</w:t>
            </w:r>
            <w:r w:rsidRPr="00112919">
              <w:rPr>
                <w:rFonts w:ascii="Calibri" w:eastAsia="Times New Roman" w:hAnsi="Calibri" w:cs="Times New Roman"/>
                <w:b/>
                <w:szCs w:val="20"/>
                <w:lang w:eastAsia="ru-RU"/>
              </w:rPr>
              <w:t>-2017/К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20.1.2.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Общество с ограниченной ответственностью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20.1.3.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Коммерческий банк «НЕВАСТРОЙИНВЕСТ»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20.1.4.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0541002492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20.1.5.</w:t>
            </w:r>
          </w:p>
        </w:tc>
        <w:tc>
          <w:tcPr>
            <w:tcW w:w="9985" w:type="dxa"/>
            <w:gridSpan w:val="3"/>
          </w:tcPr>
          <w:p w:rsidR="00DC1956" w:rsidRPr="0009172B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9172B">
              <w:rPr>
                <w:rFonts w:eastAsia="Times New Roman" w:cs="Calibri"/>
                <w:lang w:eastAsia="ru-RU"/>
              </w:rPr>
              <w:t>Сумма привлеченных средств (рублей)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5</w:t>
            </w:r>
            <w:r w:rsidRPr="0009172B">
              <w:rPr>
                <w:rFonts w:eastAsia="Times New Roman" w:cs="Calibri"/>
                <w:lang w:eastAsia="ru-RU"/>
              </w:rPr>
              <w:t xml:space="preserve"> 000 000,00 руб.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20.1.6.</w:t>
            </w:r>
          </w:p>
        </w:tc>
        <w:tc>
          <w:tcPr>
            <w:tcW w:w="9985" w:type="dxa"/>
            <w:gridSpan w:val="3"/>
          </w:tcPr>
          <w:p w:rsidR="00DC1956" w:rsidRPr="0009172B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09172B">
              <w:rPr>
                <w:rFonts w:eastAsia="Times New Roman" w:cs="Calibri"/>
                <w:lang w:eastAsia="ru-RU"/>
              </w:rPr>
              <w:t>Определенный соглашением или сделкой срок возврата привлеченных средств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21</w:t>
            </w:r>
            <w:r w:rsidRPr="0009172B">
              <w:rPr>
                <w:rFonts w:eastAsia="Times New Roman" w:cs="Calibri"/>
                <w:lang w:eastAsia="ru-RU"/>
              </w:rPr>
              <w:t>.1</w:t>
            </w:r>
            <w:r>
              <w:rPr>
                <w:rFonts w:eastAsia="Times New Roman" w:cs="Calibri"/>
                <w:lang w:eastAsia="ru-RU"/>
              </w:rPr>
              <w:t>1</w:t>
            </w:r>
            <w:r w:rsidRPr="0009172B">
              <w:rPr>
                <w:rFonts w:eastAsia="Times New Roman" w:cs="Calibri"/>
                <w:lang w:eastAsia="ru-RU"/>
              </w:rPr>
              <w:t>.2020г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20.1.7.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112919">
              <w:rPr>
                <w:rFonts w:eastAsia="Times New Roman" w:cs="Calibri"/>
                <w:b/>
                <w:lang w:eastAsia="ru-RU"/>
              </w:rPr>
              <w:t>78:07:0003200:1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 21. О размере полностью оплаченного уставного капитала застройщика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21.1. О размере полностью оплаченного уставного капитала застройщика 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21.1.1</w:t>
            </w:r>
          </w:p>
        </w:tc>
        <w:tc>
          <w:tcPr>
            <w:tcW w:w="9985" w:type="dxa"/>
            <w:gridSpan w:val="3"/>
          </w:tcPr>
          <w:p w:rsidR="00DC1956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Размер полностью оплаченного уставного капитала застройщика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100 000 руб.</w:t>
            </w: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21.1.2</w:t>
            </w:r>
          </w:p>
        </w:tc>
        <w:tc>
          <w:tcPr>
            <w:tcW w:w="9985" w:type="dxa"/>
            <w:gridSpan w:val="3"/>
          </w:tcPr>
          <w:p w:rsidR="00DC1956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100 000 руб.</w:t>
            </w:r>
          </w:p>
        </w:tc>
      </w:tr>
      <w:tr w:rsidR="00DC1956" w:rsidRPr="00112919" w:rsidTr="00890FAE">
        <w:trPr>
          <w:trHeight w:val="1234"/>
        </w:trPr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Графы 21.2. – 21.4. утратили силу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ы</w:t>
            </w: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22.</w:t>
            </w:r>
            <w:r w:rsidR="00217653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23 утратили силу </w:t>
            </w:r>
          </w:p>
        </w:tc>
      </w:tr>
      <w:tr w:rsidR="00DC1956" w:rsidRPr="00112919" w:rsidTr="00890FAE">
        <w:tc>
          <w:tcPr>
            <w:tcW w:w="14804" w:type="dxa"/>
            <w:gridSpan w:val="5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C1956" w:rsidRPr="00112919" w:rsidTr="00890FAE">
        <w:tc>
          <w:tcPr>
            <w:tcW w:w="3855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 О виде, назначении объекта социальной инфраструктуры.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 указанных в </w:t>
            </w:r>
            <w:hyperlink r:id="rId6" w:history="1">
              <w:r w:rsidRPr="00112919">
                <w:rPr>
                  <w:rFonts w:ascii="Calibri" w:eastAsia="Times New Roman" w:hAnsi="Calibri" w:cs="Calibri"/>
                  <w:szCs w:val="20"/>
                  <w:lang w:eastAsia="ru-RU"/>
                </w:rPr>
                <w:t>частях 3</w:t>
              </w:r>
            </w:hyperlink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hyperlink r:id="rId7" w:history="1">
              <w:r w:rsidRPr="00112919">
                <w:rPr>
                  <w:rFonts w:ascii="Calibri" w:eastAsia="Times New Roman" w:hAnsi="Calibri" w:cs="Calibri"/>
                  <w:szCs w:val="20"/>
                  <w:lang w:eastAsia="ru-RU"/>
                </w:rPr>
                <w:t>4 статьи 18.1</w:t>
              </w:r>
            </w:hyperlink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DC1956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 целях затрат застройщика из числа целей, указанных в </w:t>
            </w:r>
            <w:hyperlink r:id="rId8" w:history="1">
              <w:r w:rsidRPr="00112919">
                <w:rPr>
                  <w:rFonts w:ascii="Calibri" w:eastAsia="Times New Roman" w:hAnsi="Calibri" w:cs="Calibri"/>
                  <w:szCs w:val="20"/>
                  <w:lang w:eastAsia="ru-RU"/>
                </w:rPr>
                <w:t>пунктах 8</w:t>
              </w:r>
            </w:hyperlink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</w:t>
            </w:r>
            <w:hyperlink r:id="rId9" w:history="1">
              <w:r w:rsidRPr="00112919">
                <w:rPr>
                  <w:rFonts w:ascii="Calibri" w:eastAsia="Times New Roman" w:hAnsi="Calibri" w:cs="Calibri"/>
                  <w:szCs w:val="20"/>
                  <w:lang w:eastAsia="ru-RU"/>
                </w:rPr>
                <w:t>10</w:t>
              </w:r>
            </w:hyperlink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hyperlink r:id="rId10" w:history="1">
              <w:r w:rsidRPr="00112919">
                <w:rPr>
                  <w:rFonts w:ascii="Calibri" w:eastAsia="Times New Roman" w:hAnsi="Calibri" w:cs="Calibri"/>
                  <w:szCs w:val="20"/>
                  <w:lang w:eastAsia="ru-RU"/>
                </w:rPr>
                <w:t>12 части 1 статьи 18</w:t>
              </w:r>
            </w:hyperlink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</w:t>
            </w:r>
          </w:p>
          <w:p w:rsidR="00BB3820" w:rsidRPr="00112919" w:rsidRDefault="00BB3820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90FAE">
              <w:rPr>
                <w:rFonts w:ascii="Calibri" w:eastAsia="Times New Roman" w:hAnsi="Calibri" w:cs="Calibri"/>
                <w:szCs w:val="20"/>
                <w:lang w:eastAsia="ru-RU"/>
              </w:rPr>
              <w:t>и планируемых размеров таких затрат,</w:t>
            </w: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24.1.1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&lt;69&gt;</w:t>
            </w:r>
          </w:p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b/>
                <w:szCs w:val="20"/>
                <w:lang w:eastAsia="ru-RU"/>
              </w:rPr>
              <w:t>Нет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24.1.2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Вид объекта социальной инфраструктуры &lt;79&gt;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24.1.3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Назначение объекта социальной инфраструктуры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24.1.4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24.1.5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24.1.6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24.1.7</w:t>
            </w:r>
          </w:p>
        </w:tc>
        <w:tc>
          <w:tcPr>
            <w:tcW w:w="9985" w:type="dxa"/>
            <w:gridSpan w:val="3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24.1.8</w:t>
            </w:r>
          </w:p>
        </w:tc>
        <w:tc>
          <w:tcPr>
            <w:tcW w:w="740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4592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653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Планируемые затраты застройщика</w:t>
            </w:r>
          </w:p>
        </w:tc>
      </w:tr>
      <w:tr w:rsidR="00DC1956" w:rsidRPr="00112919" w:rsidTr="00890FAE">
        <w:tc>
          <w:tcPr>
            <w:tcW w:w="3855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vMerge/>
          </w:tcPr>
          <w:p w:rsidR="00DC1956" w:rsidRPr="00112919" w:rsidRDefault="00DC1956" w:rsidP="00890FAE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40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592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653" w:type="dxa"/>
          </w:tcPr>
          <w:p w:rsidR="00DC1956" w:rsidRPr="00112919" w:rsidRDefault="00DC1956" w:rsidP="00890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12919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</w:tbl>
    <w:p w:rsidR="00517B8E" w:rsidRDefault="00517B8E">
      <w:r w:rsidRPr="00517B8E">
        <w:rPr>
          <w:noProof/>
        </w:rPr>
        <w:drawing>
          <wp:inline distT="0" distB="0" distL="0" distR="0">
            <wp:extent cx="9251950" cy="5255328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B8E" w:rsidSect="00890FA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56"/>
    <w:rsid w:val="00217653"/>
    <w:rsid w:val="00517B8E"/>
    <w:rsid w:val="00890FAE"/>
    <w:rsid w:val="00AF14FC"/>
    <w:rsid w:val="00BB3820"/>
    <w:rsid w:val="00DC1956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FB2C"/>
  <w15:chartTrackingRefBased/>
  <w15:docId w15:val="{D67145B9-CBCD-4FE5-AFEF-579004C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1956"/>
  </w:style>
  <w:style w:type="numbering" w:customStyle="1" w:styleId="11">
    <w:name w:val="Нет списка11"/>
    <w:next w:val="a2"/>
    <w:uiPriority w:val="99"/>
    <w:semiHidden/>
    <w:unhideWhenUsed/>
    <w:rsid w:val="00DC1956"/>
  </w:style>
  <w:style w:type="character" w:customStyle="1" w:styleId="a3">
    <w:name w:val="Текст выноски Знак"/>
    <w:basedOn w:val="a0"/>
    <w:link w:val="a4"/>
    <w:uiPriority w:val="99"/>
    <w:semiHidden/>
    <w:rsid w:val="00DC1956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C19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DC195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C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96B587CA6B8E8231B3107A7D2085664EA8D065194E02E107FDE25A4B9960CD70B3AD952vE6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96B587CA6B8E8231B3107A7D2085664EA8D065194E02E107FDE25A4B9960CD70B3AD953vE6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96B587CA6B8E8231B3107A7D2085664EA8D065194E02E107FDE25A4B9960CD70B3AD953vE66N" TargetMode="External"/><Relationship Id="rId11" Type="http://schemas.openxmlformats.org/officeDocument/2006/relationships/image" Target="media/image1.emf"/><Relationship Id="rId5" Type="http://schemas.openxmlformats.org/officeDocument/2006/relationships/hyperlink" Target="consultantplus://offline/ref=0F096B587CA6B8E8231B3107A7D2085664EA8D065194E02E107FDE25A4B9960CD70B3ADA5DvE6BN" TargetMode="External"/><Relationship Id="rId10" Type="http://schemas.openxmlformats.org/officeDocument/2006/relationships/hyperlink" Target="consultantplus://offline/ref=0F096B587CA6B8E8231B3107A7D2085664EA8D065194E02E107FDE25A4B9960CD70B3AD952vE67N" TargetMode="External"/><Relationship Id="rId4" Type="http://schemas.openxmlformats.org/officeDocument/2006/relationships/hyperlink" Target="consultantplus://offline/ref=0F096B587CA6B8E8231B3107A7D2085664EA8D065194E02E107FDE25A4B9960CD70B3ADA56vE69N" TargetMode="External"/><Relationship Id="rId9" Type="http://schemas.openxmlformats.org/officeDocument/2006/relationships/hyperlink" Target="consultantplus://offline/ref=0F096B587CA6B8E8231B3107A7D2085664EA8D065194E02E107FDE25A4B9960CD70B3AD952vE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ASUS-2</cp:lastModifiedBy>
  <cp:revision>5</cp:revision>
  <dcterms:created xsi:type="dcterms:W3CDTF">2018-08-31T10:04:00Z</dcterms:created>
  <dcterms:modified xsi:type="dcterms:W3CDTF">2018-09-05T13:26:00Z</dcterms:modified>
</cp:coreProperties>
</file>