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PT Sans" w:hAnsi="PT Sans" w:cs="PT Sans"/>
          <w:sz w:val="26"/>
          <w:sz-cs w:val="26"/>
          <w:b/>
          <w:spacing w:val="0"/>
        </w:rPr>
        <w:t xml:space="preserve">Проектная декларация</w:t>
      </w:r>
      <w:r>
        <w:rPr>
          <w:rFonts w:ascii="Times" w:hAnsi="Times" w:cs="Times"/>
          <w:sz w:val="26"/>
          <w:sz-cs w:val="26"/>
          <w:spacing w:val="0"/>
        </w:rPr>
        <w:t xml:space="preserve"/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строительства Малоэтажного многоквартирного жилого дома по адресу: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Ленинградская область, Всеволожский район, г. Всеволожск ул. Константиновская уч. 158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г. Санкт-Петербург                                                                                        «26» сентября 2014 года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Информация о застройщике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1.1.Фирменное наименование : Общество с ограниченной ответственностью «Мегапром» (далее — Застройщик). Место нахождения: Юр. Адресс: 195275, г. Санкт-Петербург, Пискаревский пр. д. 47, корп. 2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Факт. Адресс: 188643, г. Всеволожск, ул. Константиновская уч. 158 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Режим работы: понедельник — пятница с 10.00 до 18.00. суббота-воскресение — выходной день.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1.2 Информация о государственной регистрации Застройщика: Общество с ограниченной ответственностью «Мегапром» зарегистрировано Межрайонной Инспекцией Федеральной налоговой службы №15 по Санкт-Петербургу 27.10.2005 г. за основным государственным регистрационным номером (ОГРН) 1057812711516.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1.3. Учредители (участники) Застройщика, которые обладают пятью и более процентами голосов в органе управления этого юридического лица: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Булгаков Сергей Викторович — 100% голосов от общего количества голосов в органе управления Общества с ограниченной ответственностью «Мегапром».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1.4 Проекты капитального строительства за последние три года : отсутствуют.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1.5. Вид лицензируемой  деятельности застройщика, номер лицензии, срок её действия, орган, выдавший лицензию: Видов деятельности, подлежащих лицензированию в соответствии с федеральным законом, непосредственно Застройщиком не осуществляется.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1.6. Финансовый результат текущего года, размер кредиторской и дебиторской задолженности :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1.6.1. Финансовый результат текущего года (на 30.06.2014 г.): убыток -8146,91 рублей. 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1.6.2. Размер кредиторской задолженности ( на 26.09.2014 г.): 104000,00 рублей. 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1.6.3. Размер дебиторской задолженности ( на 26.09.2014 г.): 200000,00 рублей .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Информация о проекте строительства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2.1. Цель проекта строительства: Строительство малоэтажного многоквартирного жилого дома по адресу: Ленинградская область, Всеволожский район, г. Всеволожск ул. Константиновская уч. 158 (далее — Обьект) за счет заемных и привлеченных средств с целью извлечения прибыли . 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Этапы и сроки реализации строительства: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1-ый этап — разработка, проектной документации, окончание этапа- май 2014 года;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2-ой этап — производство строительных и иных работ, окончание этапа июнь 2016 года.  Экспертиза проекта строительства не требуется. 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2.2. Разрешение на строительство: № RU47504101-0077-11-18 от 09.06.2014 г. выданное Администрацией муниципального образования «Город Всеволожск» Всеволожского муниципального района Ленинградской области , срок действия: 09.06.2016 г. 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2.3. Права застройщика на земельный участок: Земельный участок принадлежит застройщику на праве собственности. Право собственности зарегистрировано Управлением Федеральной службы государственной регистрации и картографии по Ленинградской области 28.04.2014 года на основании: 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 Свидетельства о государственной регистрации права, запись регистрации № 47-47-12/037/2014-248, на бланке 47-АВ 369414 от 28.04.2014 г.  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Местоположение земельного участка: Ленинградская область, Всеволожский район, г. Всеволожск ул. Константиновская уч. 158.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Кадастровый номер земельного участка: 47:07:1301022:57.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Площадь земельного участка: 2632 кв.м.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Разрешенное использование земельного участка: размещение малоэтажных жилых домов.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Предполагаемые элементы благоустройства земельного участка: благоустройство территории предусматривает устройство проездов, тротуаров, газонов,  зеленых насаждений, площадки для спорта, игр и отдыха детей и взрослого населения, а также автостоянок (на 32 машиноместа, в том числе для инвалидов-2) и площадки для сбора мусора. 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2.4 Местоположение земельного участка : Ленинградская область , Всеволожский район, г. Всеволожск, ул. Константиновская уч. 158. 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Описание: 1 трехэтажный  жилой дом с двумя подьездами. 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Конструктивное решение : здание монолитное железобетонное , фундамент-железобетонный ленточный , наружные стены — керамзитобетонные блоки, блоки СКЦ, кровля — плоская , окна из ПВХ.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Высота типового этажа 3.0 м. 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В тех. подполье раполагается : технические помещения .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На первом этаже дома раполагается : входные группы жилой части, состоящие из входного тамбура и холла .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Показатели на жилой дом: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  площадь застройки: 526 кв.м.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  общая площадь здания : 1579 кв.м. 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  строительный объем здания : 4737 куб.м.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  этажность : 3 этажа.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2.5. Состав и технические характеристики многоквартирного  жилого дома (квартир, иных обьектов недвижимости):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  количество квартир: 28 квартир (днокомнатных-14; двухкомнатных-12; трехкомнатных- 2).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        общая площадь квартир: 1254 кв.м. 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2.6. Функциональное назначение нежилых помещений, не входящих в состав общего имущества в многоквартирном доме: нежилые помещения отсутствуют. 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2.7. Состав общего имущества многоквартирного дома: земельный участок с элементами благоустройства, кровля, технические помещения, лестничные клетки и холлы. 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2.8. Предполагаемый срок получения Разрешения на ввод объекта в эксплуатацию: июнь 2016 года . Орган, уполномоченный на выдачу разрешения на ввод объекта в эксплуатацию: Администрация муниципального образования «Город Всеволожск» Всеволожского муниципального района Ленинградской области. 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2.9. Возможные финансовые и прочие риски при осуществлении проекта строительства: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        ухудшение политической обстановки; 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  принятие законов, препятствующих нормальному функционированию строительного бизнеса; 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   увеличение сроков строительства и ввода в эксплуатацию внеплощадочных инженерных сетей.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        Инфляция.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        Рост процентных ставок по заемным средствам;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        монополизация рынка строительных материалов и рост себестоимости. 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2.10. Планируемая стоимость строительства Объекта: Примерно 56 500 000,00 рублей. 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2.11. Перечень организаций, осуществляющих основные строительно-монтажные работы: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         ОАО «КБ ВиПС» -(проектные работы);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         ООО «Архитектура»-(инженерные изыскания);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         ООО «СК Булгаков»-(генеральный подрядчик);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         ООО «Мегапром»-(застройщик)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2.12. Способ обеспечения исполнения обязательств застройщика  по договору долевого участия:  Федеральный закон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2.13. Денежные средства для строительства (создания) Объекта привлекаются на основании договоров долевого участия с физическими лицами и юридическими лицами. 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2.14. Страхование Застройщиком финансовых и иных рисков: отсутствует.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2.15. Иные договоры и сделки, на основании которых привлекаются денежные средства для строительства  (создания) обьекта недвижимости: отсутствуют.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Генеральный директор                              </w:t>
      </w:r>
    </w:p>
    <w:p>
      <w:pPr/>
      <w:r>
        <w:rPr>
          <w:rFonts w:ascii="Times" w:hAnsi="Times" w:cs="Times"/>
          <w:sz w:val="26"/>
          <w:sz-cs w:val="26"/>
          <w:spacing w:val="0"/>
        </w:rPr>
        <w:t xml:space="preserve">ООО «Мегапром»                                                              ________________/Булгаков C.В./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CocoaOOXMLWriter/1265.21</generator>
</meta>
</file>