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114567" w:rsidRDefault="00114567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B744E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781C74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Pr="00781C74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781C74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781C74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C56324" w:rsidRPr="00781C74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D26ABE" w:rsidRPr="00781C74">
                    <w:rPr>
                      <w:rFonts w:ascii="Verdana" w:hAnsi="Verdana"/>
                    </w:rPr>
                    <w:t>(</w:t>
                  </w:r>
                  <w:r w:rsidR="00447E7F" w:rsidRPr="00781C74">
                    <w:rPr>
                      <w:rFonts w:ascii="Verdana" w:hAnsi="Verdana"/>
                    </w:rPr>
                    <w:t>корпус 1,</w:t>
                  </w:r>
                  <w:r w:rsidR="00D26ABE" w:rsidRPr="00781C74">
                    <w:rPr>
                      <w:rFonts w:ascii="Verdana" w:hAnsi="Verdana"/>
                    </w:rPr>
                    <w:t xml:space="preserve"> корпус 2)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E531B3" w:rsidRPr="00781C74">
                    <w:rPr>
                      <w:rFonts w:ascii="Verdana" w:hAnsi="Verdana"/>
                    </w:rPr>
                    <w:t xml:space="preserve">второй </w:t>
                  </w:r>
                  <w:r w:rsidR="00447E7F" w:rsidRPr="00781C74">
                    <w:rPr>
                      <w:rFonts w:ascii="Verdana" w:hAnsi="Verdana"/>
                    </w:rPr>
                    <w:t xml:space="preserve"> этап </w:t>
                  </w:r>
                  <w:r w:rsidRPr="00781C74">
                    <w:rPr>
                      <w:rFonts w:ascii="Verdana" w:hAnsi="Verdana"/>
                    </w:rPr>
                    <w:t xml:space="preserve">по адресу: </w:t>
                  </w:r>
                  <w:r w:rsidR="00C56324" w:rsidRPr="00781C74">
                    <w:rPr>
                      <w:rFonts w:ascii="Verdana" w:hAnsi="Verdana"/>
                    </w:rPr>
                    <w:t>Ленинградская область, Всеволожский район, земли САОЗТ «Ручьи»</w:t>
                  </w:r>
                </w:p>
                <w:p w:rsidR="00282264" w:rsidRPr="00781C74" w:rsidRDefault="00282264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  <w:p w:rsidR="00282264" w:rsidRPr="00781C74" w:rsidRDefault="00282264" w:rsidP="002822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4E325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26 августа</w:t>
                  </w:r>
                  <w:r w:rsidR="002150F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201</w:t>
                  </w:r>
                  <w:r w:rsidR="00926A5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г.)</w:t>
                  </w:r>
                </w:p>
                <w:p w:rsidR="00282264" w:rsidRPr="00781C74" w:rsidRDefault="00282264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4127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ноября  </w:t>
                  </w:r>
                  <w:r w:rsidR="00C5632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926A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 января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169797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781C74">
                    <w:rPr>
                      <w:rStyle w:val="FontStyle15"/>
                      <w:rFonts w:ascii="Verdana" w:hAnsi="Verdana"/>
                      <w:sz w:val="20"/>
                      <w:szCs w:val="20"/>
                    </w:rPr>
                    <w:t>1079847030284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419E" w:rsidRPr="00781C74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-этажного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многоквартирный жилой дом со встроенной автостоянкой по адресу: </w:t>
                  </w:r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Санкт-Петербург, </w:t>
                  </w:r>
                  <w:proofErr w:type="spellStart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Мартыновка</w:t>
                  </w:r>
                  <w:proofErr w:type="spellEnd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, улица Пугачева, д. 6, лит. А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.2011г.,  введен в эксплуатацию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5715в-2011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Строительство 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19-20-ти этажного, в том числе  подземной части (подвал) и технического  этажа (чердака)  8-ми секционного м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 встроенными помещениями обслуживания (корпус 1, корпус 2) первый этап  по адресу: Ленинградская область, Всеволожский район, земли САОЗТ «Ручьи», плановый срок завершения строительно-монтажных работ -31.05.2015г.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A713A7" w:rsidRPr="00781C74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2150F4" w:rsidRDefault="00A713A7" w:rsidP="002150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декларации:</w:t>
                  </w:r>
                  <w:r w:rsidR="00660A12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D0C01" w:rsidRPr="0023090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150F4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30.06.2015 </w:t>
                  </w:r>
                  <w:r w:rsidR="002150F4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составил 134 тыс. руб. (Сто тридцать четыре тысячи рублей)</w:t>
                  </w:r>
                  <w:proofErr w:type="gramStart"/>
                  <w:r w:rsidR="002150F4">
                    <w:rPr>
                      <w:rFonts w:ascii="Verdana" w:hAnsi="Verdana"/>
                      <w:sz w:val="20"/>
                      <w:szCs w:val="20"/>
                    </w:rPr>
                    <w:t>.Р</w:t>
                  </w:r>
                  <w:proofErr w:type="gramEnd"/>
                  <w:r w:rsidR="002150F4">
                    <w:rPr>
                      <w:rFonts w:ascii="Verdana" w:hAnsi="Verdana"/>
                      <w:sz w:val="20"/>
                      <w:szCs w:val="20"/>
                    </w:rPr>
                    <w:t>азмер кредиторской задолженности  на 30.06.2015 составил 57 216 тыс. руб. (Пятьдесят семь миллионов двести шестнадцать тысяч рублей).</w:t>
                  </w:r>
                </w:p>
                <w:p w:rsidR="002150F4" w:rsidRDefault="002150F4" w:rsidP="002150F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  на 30.06.2015 составил 479 242 тыс. руб. (Четыреста семьдесят девять миллионов двести сорок две тысячи рублей). </w:t>
                  </w:r>
                </w:p>
                <w:p w:rsidR="002D0C01" w:rsidRDefault="002D0C01" w:rsidP="00926A5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781C74" w:rsidRDefault="00D36CC8" w:rsidP="002D0C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037E7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D2C68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7.Цель проекта строительства</w:t>
                  </w:r>
                  <w:r w:rsidR="00DD2C68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-ти этажного, в том числе 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х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секционного</w:t>
                  </w:r>
                  <w:r w:rsidR="00AB2F6A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(9,10,11)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="00DD2C68" w:rsidRPr="00781C74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корпус 1,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>корпус</w:t>
                  </w:r>
                  <w:r w:rsidR="00BA3C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2) 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>второй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этап  по адресу: Ленинградская область, Всеволожский район, земли САОЗТ «Ручьи»</w:t>
                  </w:r>
                  <w:r w:rsidR="00DD2C68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781C74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781C74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781C74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C94A87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282264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282264" w:rsidRPr="00781C7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7D3E76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-1-1-0005-13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E36B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.2013 года.</w:t>
                  </w:r>
                </w:p>
                <w:p w:rsidR="00016CC9" w:rsidRPr="00781C74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47504307-72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 ноября 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32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31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32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22.06.2012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22/06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1072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«Норманн»</w:t>
                  </w:r>
                </w:p>
                <w:p w:rsidR="00016CC9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24 389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414.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781C74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востока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территорией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перспективной жилой застройки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территорией 1-го этапа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внутриквартальн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дорогой и,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далее,  территорией перспективной жилой застройки.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781C74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тво </w:t>
                  </w:r>
                  <w:r w:rsidR="003920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 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пять открытых автомобильных стоянок с общим количеством 35 </w:t>
                  </w:r>
                  <w:proofErr w:type="spellStart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машино-мест</w:t>
                  </w:r>
                  <w:proofErr w:type="spellEnd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кустарников.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23271,61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71492,0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5211</w:t>
                  </w:r>
                  <w:r w:rsidR="009844B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12891,96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бщее количество квартир - 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243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137</w:t>
                  </w:r>
                  <w:r w:rsidR="00E4631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трёхкомнатные 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8,02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36,51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3-комнатные 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 (с учетом балконов/лоджий). </w:t>
                  </w:r>
                </w:p>
                <w:p w:rsidR="00073977" w:rsidRPr="00781C74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ИТП (25,59 кв</w:t>
                  </w:r>
                  <w:proofErr w:type="gram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76,02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</w:t>
                  </w:r>
                  <w:r w:rsidR="00CD7BC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насосная станция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(44,07 кв.м),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5,67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технический подвал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257,52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кабельная (11,32 кв.м), технический подвал (321,12 кв.м),  лестничная клетка  (5,67 кв.м),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 (5,67 кв.м).</w:t>
                  </w:r>
                </w:p>
                <w:p w:rsidR="00E770F0" w:rsidRPr="00781C74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лифтовой холл с коридором (42,51 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кв.м), лестничная клетка (16,10 кв.м), вестибюль (22,64 кв.м),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консьержа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14,02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 (5,30 кв.м.),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4,93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уборочного инвентаря (2.53 кв.м), колясочная (13,03 кв.м) лифтовой холл с коридором (42,51 кв.м),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вестибюль (22,64 кв.м), помещение консьержа (14,02 кв.м), тамбур (5,30 кв.м.), помещение уборочного инвентаря (8.62 кв.м) санузел (4,93 кв.м),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(7,82 кв.м), лифтовой холл с коридором (42,51 кв.м), 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кв.м), лестничная клетка (16,10 кв.м), вестибюль (22,64 кв.м), помещение консьержа (14,02 кв.м), 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 (5,30 кв.м.), санузел (4,93 кв.м.), помещение уборочного инвентаря (2.53 кв.м).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B75EF0" w:rsidRPr="00781C74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8B188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014D9" w:rsidRPr="00781C74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секций 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87,80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(27,51 кв.м),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кв.м), лестничная клетка (10,42 кв.м),помещение промывки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кв.м),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84,34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кв.м), лестничная клетка (16,10 кв.м), машинное помещение (27,51 кв.м),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кв.м), лестничная клетка (5,1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кв.м),помещение промывки</w:t>
                  </w:r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прочистки и </w:t>
                  </w:r>
                  <w:proofErr w:type="spellStart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кв.м)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техническое помещение (280,44 кв.м), лестничная клетка (16,10 кв.м), машинное помещение (27,51 кв.м),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(30,63 кв.м),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кв.м), лестничная клетка (5,17 кв.м),помещение промывки, прочистки и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кв.м)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B491B" w:rsidRPr="00781C74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781C74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B1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781C74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proofErr w:type="spellStart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B188D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</w:t>
                  </w:r>
                  <w:r w:rsidR="0029250F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3F2248" w:rsidRPr="00781C7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proofErr w:type="gramEnd"/>
                  <w:r w:rsidR="0029250F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8B5BB3" w:rsidRDefault="008B5BB3" w:rsidP="008B5B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Согласно смете существующего проекта строительства 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1 003 271 708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один миллиард три 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миллиона двести семьдесят одна тысяча семьсот восемь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рублей.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6300D9" w:rsidRDefault="00C55A3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EF732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ПСТ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</w:t>
                  </w:r>
                  <w:r w:rsidR="00EF732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Default="006300D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СК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Никстрой</w:t>
                  </w:r>
                  <w:proofErr w:type="spellEnd"/>
                  <w:proofErr w:type="gramStart"/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&gt;-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наружных стен и внутренних перегородок.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300D9" w:rsidRDefault="006300D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A45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ЗАО &lt;ИСК Прогресс&gt; -  устройство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монолитного каркаса. </w:t>
                  </w:r>
                </w:p>
                <w:p w:rsidR="006300D9" w:rsidRDefault="006300D9" w:rsidP="006300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СФК Энергия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</w:t>
                  </w:r>
                  <w:r w:rsidRPr="000A45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фундаментной плиты.</w:t>
                  </w:r>
                </w:p>
                <w:p w:rsidR="006300D9" w:rsidRPr="006300D9" w:rsidRDefault="006300D9" w:rsidP="006300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422A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Пром</w:t>
                  </w:r>
                  <w:r w:rsidR="00D7302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="006D18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кай</w:t>
                  </w:r>
                  <w:proofErr w:type="spellEnd"/>
                  <w:r w:rsidRPr="00422A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-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башенные краны.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Default="00F45F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437D61" w:rsidRPr="00437D61" w:rsidRDefault="00016CC9" w:rsidP="00437D6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FF4"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="00F45FF4"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437D61" w:rsidRPr="00EA7D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37D6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</w:t>
                  </w:r>
                  <w:r w:rsidR="00437D61">
                    <w:t>ДС/ 2015-0577 от  28.04.2015</w:t>
                  </w:r>
                  <w:r w:rsidR="00437D61" w:rsidRPr="00437D61">
                    <w:rPr>
                      <w:rFonts w:ascii="Verdana" w:hAnsi="Verdana"/>
                      <w:sz w:val="20"/>
                      <w:szCs w:val="20"/>
                    </w:rPr>
                    <w:t>г. с</w:t>
                  </w:r>
                  <w:r w:rsidR="00437D61" w:rsidRPr="00437D61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 xml:space="preserve"> </w:t>
                  </w:r>
                  <w:r w:rsidR="00437D61" w:rsidRPr="00437D61">
                    <w:rPr>
                      <w:rFonts w:ascii="Verdana" w:eastAsia="SimSun" w:hAnsi="Verdana"/>
                      <w:sz w:val="20"/>
                      <w:szCs w:val="20"/>
                    </w:rPr>
                    <w:t>ООО «Страховая компания «Советская» ИНН 7835003413 ОГРН 1047833028704, место нахождения: 194044, г</w:t>
                  </w:r>
                  <w:proofErr w:type="gramStart"/>
                  <w:r w:rsidR="00437D61" w:rsidRPr="00437D61">
                    <w:rPr>
                      <w:rFonts w:ascii="Verdana" w:eastAsia="SimSun" w:hAnsi="Verdana"/>
                      <w:sz w:val="20"/>
                      <w:szCs w:val="20"/>
                    </w:rPr>
                    <w:t>.С</w:t>
                  </w:r>
                  <w:proofErr w:type="gramEnd"/>
                  <w:r w:rsidR="00437D61" w:rsidRPr="00437D61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анкт-Петербург, пр. Б. </w:t>
                  </w:r>
                  <w:proofErr w:type="spellStart"/>
                  <w:r w:rsidR="00437D61" w:rsidRPr="00437D61">
                    <w:rPr>
                      <w:rFonts w:ascii="Verdana" w:eastAsia="SimSun" w:hAnsi="Verdana"/>
                      <w:sz w:val="20"/>
                      <w:szCs w:val="20"/>
                    </w:rPr>
                    <w:t>Сампсониевский</w:t>
                  </w:r>
                  <w:proofErr w:type="spellEnd"/>
                  <w:r w:rsidR="00437D61" w:rsidRPr="00437D61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дом 4-6, лит А, </w:t>
                  </w:r>
                  <w:proofErr w:type="spellStart"/>
                  <w:r w:rsidR="00437D61" w:rsidRPr="00437D61">
                    <w:rPr>
                      <w:rFonts w:ascii="Verdana" w:eastAsia="SimSun" w:hAnsi="Verdana"/>
                      <w:sz w:val="20"/>
                      <w:szCs w:val="20"/>
                    </w:rPr>
                    <w:t>пом</w:t>
                  </w:r>
                  <w:proofErr w:type="spellEnd"/>
                  <w:r w:rsidR="00437D61" w:rsidRPr="00437D61">
                    <w:rPr>
                      <w:rFonts w:ascii="Verdana" w:eastAsia="SimSun" w:hAnsi="Verdana"/>
                      <w:sz w:val="20"/>
                      <w:szCs w:val="20"/>
                    </w:rPr>
                    <w:t>. 3Н.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Не заключались </w:t>
                  </w:r>
                </w:p>
                <w:p w:rsidR="001068A6" w:rsidRPr="00781C74" w:rsidRDefault="001068A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30577B" w:rsidRPr="00781C74" w:rsidRDefault="0030577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781C74" w:rsidRDefault="00B46C88" w:rsidP="001068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&lt;Норманн&gt;                   </w:t>
                  </w:r>
                  <w:r w:rsidR="00702F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781C74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781C74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21" w:rsidRDefault="00CC5C21" w:rsidP="00055D0E">
      <w:pPr>
        <w:spacing w:after="0" w:line="240" w:lineRule="auto"/>
      </w:pPr>
      <w:r>
        <w:separator/>
      </w:r>
    </w:p>
  </w:endnote>
  <w:endnote w:type="continuationSeparator" w:id="0">
    <w:p w:rsidR="00CC5C21" w:rsidRDefault="00CC5C21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DC" w:rsidRDefault="00B522A5">
    <w:pPr>
      <w:pStyle w:val="a7"/>
      <w:jc w:val="center"/>
    </w:pPr>
    <w:fldSimple w:instr=" PAGE   \* MERGEFORMAT ">
      <w:r w:rsidR="004E3251">
        <w:rPr>
          <w:noProof/>
        </w:rPr>
        <w:t>1</w:t>
      </w:r>
    </w:fldSimple>
  </w:p>
  <w:p w:rsidR="000F14DC" w:rsidRDefault="000F14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21" w:rsidRDefault="00CC5C21" w:rsidP="00055D0E">
      <w:pPr>
        <w:spacing w:after="0" w:line="240" w:lineRule="auto"/>
      </w:pPr>
      <w:r>
        <w:separator/>
      </w:r>
    </w:p>
  </w:footnote>
  <w:footnote w:type="continuationSeparator" w:id="0">
    <w:p w:rsidR="00CC5C21" w:rsidRDefault="00CC5C21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10AE2"/>
    <w:rsid w:val="00011338"/>
    <w:rsid w:val="00016CC9"/>
    <w:rsid w:val="00021761"/>
    <w:rsid w:val="0002370E"/>
    <w:rsid w:val="00025A1A"/>
    <w:rsid w:val="00026616"/>
    <w:rsid w:val="000268CA"/>
    <w:rsid w:val="00030AAF"/>
    <w:rsid w:val="00042BE6"/>
    <w:rsid w:val="000430A7"/>
    <w:rsid w:val="000458DD"/>
    <w:rsid w:val="00050B96"/>
    <w:rsid w:val="00055D0E"/>
    <w:rsid w:val="00057770"/>
    <w:rsid w:val="000648BA"/>
    <w:rsid w:val="00064C19"/>
    <w:rsid w:val="00073977"/>
    <w:rsid w:val="000A2406"/>
    <w:rsid w:val="000A25B9"/>
    <w:rsid w:val="000A4AA2"/>
    <w:rsid w:val="000A687A"/>
    <w:rsid w:val="000B3443"/>
    <w:rsid w:val="000B3A3B"/>
    <w:rsid w:val="000B4769"/>
    <w:rsid w:val="000C20B9"/>
    <w:rsid w:val="000D0C15"/>
    <w:rsid w:val="000D2CD5"/>
    <w:rsid w:val="000E7861"/>
    <w:rsid w:val="000F14DC"/>
    <w:rsid w:val="000F4996"/>
    <w:rsid w:val="001068A6"/>
    <w:rsid w:val="00111A29"/>
    <w:rsid w:val="00114567"/>
    <w:rsid w:val="0011684F"/>
    <w:rsid w:val="00123BC2"/>
    <w:rsid w:val="00137674"/>
    <w:rsid w:val="0015367F"/>
    <w:rsid w:val="0018548E"/>
    <w:rsid w:val="00186A5B"/>
    <w:rsid w:val="0019413F"/>
    <w:rsid w:val="001B01F4"/>
    <w:rsid w:val="001B491B"/>
    <w:rsid w:val="001C26BB"/>
    <w:rsid w:val="001C4A50"/>
    <w:rsid w:val="001C6C02"/>
    <w:rsid w:val="001E0066"/>
    <w:rsid w:val="001E1C2B"/>
    <w:rsid w:val="002150F4"/>
    <w:rsid w:val="00237F6A"/>
    <w:rsid w:val="00242EE0"/>
    <w:rsid w:val="0024796F"/>
    <w:rsid w:val="002503B9"/>
    <w:rsid w:val="00253FFC"/>
    <w:rsid w:val="00264AD6"/>
    <w:rsid w:val="00282264"/>
    <w:rsid w:val="002827AD"/>
    <w:rsid w:val="0029250F"/>
    <w:rsid w:val="00294378"/>
    <w:rsid w:val="002A0750"/>
    <w:rsid w:val="002A444A"/>
    <w:rsid w:val="002A5E5E"/>
    <w:rsid w:val="002B419E"/>
    <w:rsid w:val="002C5820"/>
    <w:rsid w:val="002D0C01"/>
    <w:rsid w:val="002E1832"/>
    <w:rsid w:val="002E20F1"/>
    <w:rsid w:val="002F229D"/>
    <w:rsid w:val="002F64E9"/>
    <w:rsid w:val="00304961"/>
    <w:rsid w:val="0030577B"/>
    <w:rsid w:val="00321423"/>
    <w:rsid w:val="00323135"/>
    <w:rsid w:val="003260EE"/>
    <w:rsid w:val="00333434"/>
    <w:rsid w:val="003372D1"/>
    <w:rsid w:val="00341C8E"/>
    <w:rsid w:val="00343E78"/>
    <w:rsid w:val="00347305"/>
    <w:rsid w:val="0034743A"/>
    <w:rsid w:val="003476BE"/>
    <w:rsid w:val="00350B44"/>
    <w:rsid w:val="003675AD"/>
    <w:rsid w:val="00374C6E"/>
    <w:rsid w:val="00377145"/>
    <w:rsid w:val="00377280"/>
    <w:rsid w:val="0038370C"/>
    <w:rsid w:val="00392077"/>
    <w:rsid w:val="003A37B6"/>
    <w:rsid w:val="003A48B5"/>
    <w:rsid w:val="003C2819"/>
    <w:rsid w:val="003C4731"/>
    <w:rsid w:val="003C4AE8"/>
    <w:rsid w:val="003C70EB"/>
    <w:rsid w:val="003C7A18"/>
    <w:rsid w:val="003D2DEB"/>
    <w:rsid w:val="003D56E2"/>
    <w:rsid w:val="003E5D3B"/>
    <w:rsid w:val="003F2248"/>
    <w:rsid w:val="00402D34"/>
    <w:rsid w:val="004062D4"/>
    <w:rsid w:val="00407A98"/>
    <w:rsid w:val="0041276D"/>
    <w:rsid w:val="00413CEE"/>
    <w:rsid w:val="00422A82"/>
    <w:rsid w:val="0043730C"/>
    <w:rsid w:val="00437D61"/>
    <w:rsid w:val="0044466D"/>
    <w:rsid w:val="00447E7F"/>
    <w:rsid w:val="004614A5"/>
    <w:rsid w:val="004659B3"/>
    <w:rsid w:val="00471E94"/>
    <w:rsid w:val="004731C1"/>
    <w:rsid w:val="00482315"/>
    <w:rsid w:val="004854C9"/>
    <w:rsid w:val="004907AA"/>
    <w:rsid w:val="0049409C"/>
    <w:rsid w:val="00496470"/>
    <w:rsid w:val="00497C4D"/>
    <w:rsid w:val="004A23ED"/>
    <w:rsid w:val="004D09A8"/>
    <w:rsid w:val="004E3251"/>
    <w:rsid w:val="004F1A7E"/>
    <w:rsid w:val="004F518E"/>
    <w:rsid w:val="005147EB"/>
    <w:rsid w:val="00521E8E"/>
    <w:rsid w:val="0052395D"/>
    <w:rsid w:val="00527274"/>
    <w:rsid w:val="005301DC"/>
    <w:rsid w:val="00534577"/>
    <w:rsid w:val="00553917"/>
    <w:rsid w:val="00564A87"/>
    <w:rsid w:val="0056618D"/>
    <w:rsid w:val="00567D7E"/>
    <w:rsid w:val="005703A1"/>
    <w:rsid w:val="0057054E"/>
    <w:rsid w:val="00575C4E"/>
    <w:rsid w:val="00577CF4"/>
    <w:rsid w:val="00586531"/>
    <w:rsid w:val="005865AA"/>
    <w:rsid w:val="00587033"/>
    <w:rsid w:val="00592836"/>
    <w:rsid w:val="005A2C75"/>
    <w:rsid w:val="005B4DB3"/>
    <w:rsid w:val="005C3857"/>
    <w:rsid w:val="005D2CC2"/>
    <w:rsid w:val="005F2A9E"/>
    <w:rsid w:val="005F4A34"/>
    <w:rsid w:val="005F4CFD"/>
    <w:rsid w:val="00600F3D"/>
    <w:rsid w:val="00601C9B"/>
    <w:rsid w:val="00617377"/>
    <w:rsid w:val="0062402F"/>
    <w:rsid w:val="00627D4A"/>
    <w:rsid w:val="006300D9"/>
    <w:rsid w:val="00630AA8"/>
    <w:rsid w:val="00631D23"/>
    <w:rsid w:val="00633036"/>
    <w:rsid w:val="00636933"/>
    <w:rsid w:val="0064777B"/>
    <w:rsid w:val="0065064D"/>
    <w:rsid w:val="00657ED4"/>
    <w:rsid w:val="00660A12"/>
    <w:rsid w:val="0067562E"/>
    <w:rsid w:val="00681C34"/>
    <w:rsid w:val="00681C60"/>
    <w:rsid w:val="00682CBC"/>
    <w:rsid w:val="00691ACB"/>
    <w:rsid w:val="0069364A"/>
    <w:rsid w:val="006A65D5"/>
    <w:rsid w:val="006B5B19"/>
    <w:rsid w:val="006D187F"/>
    <w:rsid w:val="006E70EA"/>
    <w:rsid w:val="006F1615"/>
    <w:rsid w:val="006F2C7E"/>
    <w:rsid w:val="00702F1F"/>
    <w:rsid w:val="00703FAB"/>
    <w:rsid w:val="00705AE2"/>
    <w:rsid w:val="00707342"/>
    <w:rsid w:val="00715462"/>
    <w:rsid w:val="007254F2"/>
    <w:rsid w:val="007306FC"/>
    <w:rsid w:val="00730CA4"/>
    <w:rsid w:val="00731770"/>
    <w:rsid w:val="00732E61"/>
    <w:rsid w:val="00741560"/>
    <w:rsid w:val="007432D1"/>
    <w:rsid w:val="00762289"/>
    <w:rsid w:val="007809BD"/>
    <w:rsid w:val="00781C74"/>
    <w:rsid w:val="00787F53"/>
    <w:rsid w:val="00790B62"/>
    <w:rsid w:val="0079218D"/>
    <w:rsid w:val="007A180E"/>
    <w:rsid w:val="007B122B"/>
    <w:rsid w:val="007B7A02"/>
    <w:rsid w:val="007C2201"/>
    <w:rsid w:val="007D2C41"/>
    <w:rsid w:val="007D3E76"/>
    <w:rsid w:val="007D4653"/>
    <w:rsid w:val="007D58B6"/>
    <w:rsid w:val="007E346F"/>
    <w:rsid w:val="007F4677"/>
    <w:rsid w:val="007F4ECD"/>
    <w:rsid w:val="00802C86"/>
    <w:rsid w:val="00810BCA"/>
    <w:rsid w:val="00834C55"/>
    <w:rsid w:val="00852D2C"/>
    <w:rsid w:val="00854EE6"/>
    <w:rsid w:val="008630AE"/>
    <w:rsid w:val="008638C8"/>
    <w:rsid w:val="00877BB5"/>
    <w:rsid w:val="00890BA9"/>
    <w:rsid w:val="00892EA3"/>
    <w:rsid w:val="008B188D"/>
    <w:rsid w:val="008B5181"/>
    <w:rsid w:val="008B5BB3"/>
    <w:rsid w:val="008C39B1"/>
    <w:rsid w:val="008C5EF8"/>
    <w:rsid w:val="008D3378"/>
    <w:rsid w:val="008D55F3"/>
    <w:rsid w:val="008D56FE"/>
    <w:rsid w:val="008E2A85"/>
    <w:rsid w:val="008F3FF8"/>
    <w:rsid w:val="008F5A52"/>
    <w:rsid w:val="008F5F84"/>
    <w:rsid w:val="00905DC8"/>
    <w:rsid w:val="00910620"/>
    <w:rsid w:val="0091113C"/>
    <w:rsid w:val="00926A59"/>
    <w:rsid w:val="00940F22"/>
    <w:rsid w:val="00943FD1"/>
    <w:rsid w:val="009529B8"/>
    <w:rsid w:val="00953099"/>
    <w:rsid w:val="00957D53"/>
    <w:rsid w:val="00972685"/>
    <w:rsid w:val="00975CD7"/>
    <w:rsid w:val="009770C8"/>
    <w:rsid w:val="009844B8"/>
    <w:rsid w:val="0098539D"/>
    <w:rsid w:val="0099083B"/>
    <w:rsid w:val="00992374"/>
    <w:rsid w:val="009A0290"/>
    <w:rsid w:val="009A4B66"/>
    <w:rsid w:val="009B021F"/>
    <w:rsid w:val="009B7065"/>
    <w:rsid w:val="009C5965"/>
    <w:rsid w:val="009D3710"/>
    <w:rsid w:val="009E4990"/>
    <w:rsid w:val="009F58ED"/>
    <w:rsid w:val="00A2011D"/>
    <w:rsid w:val="00A35166"/>
    <w:rsid w:val="00A40892"/>
    <w:rsid w:val="00A45F66"/>
    <w:rsid w:val="00A467D5"/>
    <w:rsid w:val="00A47C38"/>
    <w:rsid w:val="00A542DF"/>
    <w:rsid w:val="00A55EC1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C4F10"/>
    <w:rsid w:val="00AC5660"/>
    <w:rsid w:val="00AD059B"/>
    <w:rsid w:val="00AD4D87"/>
    <w:rsid w:val="00AD5DB7"/>
    <w:rsid w:val="00AD6FCB"/>
    <w:rsid w:val="00AE3050"/>
    <w:rsid w:val="00AE7504"/>
    <w:rsid w:val="00AF5B1B"/>
    <w:rsid w:val="00B12950"/>
    <w:rsid w:val="00B2264F"/>
    <w:rsid w:val="00B25629"/>
    <w:rsid w:val="00B27B06"/>
    <w:rsid w:val="00B302E9"/>
    <w:rsid w:val="00B30DB8"/>
    <w:rsid w:val="00B37972"/>
    <w:rsid w:val="00B46C88"/>
    <w:rsid w:val="00B46DAA"/>
    <w:rsid w:val="00B522A5"/>
    <w:rsid w:val="00B5352E"/>
    <w:rsid w:val="00B60BE9"/>
    <w:rsid w:val="00B637E6"/>
    <w:rsid w:val="00B669A3"/>
    <w:rsid w:val="00B71428"/>
    <w:rsid w:val="00B744EA"/>
    <w:rsid w:val="00B75EF0"/>
    <w:rsid w:val="00B7737A"/>
    <w:rsid w:val="00B82844"/>
    <w:rsid w:val="00B836A2"/>
    <w:rsid w:val="00B921F0"/>
    <w:rsid w:val="00B949A3"/>
    <w:rsid w:val="00BA3CB3"/>
    <w:rsid w:val="00BA5864"/>
    <w:rsid w:val="00BB25AA"/>
    <w:rsid w:val="00BB4752"/>
    <w:rsid w:val="00BB724D"/>
    <w:rsid w:val="00BC1786"/>
    <w:rsid w:val="00BC1FBF"/>
    <w:rsid w:val="00BC717C"/>
    <w:rsid w:val="00BE0EFA"/>
    <w:rsid w:val="00BE26B6"/>
    <w:rsid w:val="00BE3025"/>
    <w:rsid w:val="00BF14D4"/>
    <w:rsid w:val="00C014D9"/>
    <w:rsid w:val="00C041D8"/>
    <w:rsid w:val="00C13765"/>
    <w:rsid w:val="00C21713"/>
    <w:rsid w:val="00C220BF"/>
    <w:rsid w:val="00C3306E"/>
    <w:rsid w:val="00C36E83"/>
    <w:rsid w:val="00C40F8B"/>
    <w:rsid w:val="00C55A37"/>
    <w:rsid w:val="00C56324"/>
    <w:rsid w:val="00C61FC2"/>
    <w:rsid w:val="00C652BC"/>
    <w:rsid w:val="00C91560"/>
    <w:rsid w:val="00C94A87"/>
    <w:rsid w:val="00CC4C2B"/>
    <w:rsid w:val="00CC5C21"/>
    <w:rsid w:val="00CC66F5"/>
    <w:rsid w:val="00CD1145"/>
    <w:rsid w:val="00CD7BC6"/>
    <w:rsid w:val="00CE2B83"/>
    <w:rsid w:val="00CE50A3"/>
    <w:rsid w:val="00CF413A"/>
    <w:rsid w:val="00D03000"/>
    <w:rsid w:val="00D0697D"/>
    <w:rsid w:val="00D20D4F"/>
    <w:rsid w:val="00D21E84"/>
    <w:rsid w:val="00D2446B"/>
    <w:rsid w:val="00D253B1"/>
    <w:rsid w:val="00D26ABE"/>
    <w:rsid w:val="00D338AA"/>
    <w:rsid w:val="00D36CC8"/>
    <w:rsid w:val="00D41BA3"/>
    <w:rsid w:val="00D46031"/>
    <w:rsid w:val="00D57D74"/>
    <w:rsid w:val="00D60DED"/>
    <w:rsid w:val="00D7302B"/>
    <w:rsid w:val="00D731FB"/>
    <w:rsid w:val="00D73E81"/>
    <w:rsid w:val="00D7545D"/>
    <w:rsid w:val="00D930CD"/>
    <w:rsid w:val="00DA65A8"/>
    <w:rsid w:val="00DA760C"/>
    <w:rsid w:val="00DC0854"/>
    <w:rsid w:val="00DC1E9A"/>
    <w:rsid w:val="00DC6890"/>
    <w:rsid w:val="00DD2C68"/>
    <w:rsid w:val="00DE1AFD"/>
    <w:rsid w:val="00E12612"/>
    <w:rsid w:val="00E139C8"/>
    <w:rsid w:val="00E21CF9"/>
    <w:rsid w:val="00E269B4"/>
    <w:rsid w:val="00E366D7"/>
    <w:rsid w:val="00E36BB4"/>
    <w:rsid w:val="00E36DD3"/>
    <w:rsid w:val="00E4631A"/>
    <w:rsid w:val="00E475B8"/>
    <w:rsid w:val="00E531B3"/>
    <w:rsid w:val="00E57801"/>
    <w:rsid w:val="00E622DD"/>
    <w:rsid w:val="00E704B4"/>
    <w:rsid w:val="00E734A0"/>
    <w:rsid w:val="00E770F0"/>
    <w:rsid w:val="00E8131A"/>
    <w:rsid w:val="00E97624"/>
    <w:rsid w:val="00EA0C39"/>
    <w:rsid w:val="00EA469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14BBA"/>
    <w:rsid w:val="00F2490D"/>
    <w:rsid w:val="00F430FD"/>
    <w:rsid w:val="00F45FF4"/>
    <w:rsid w:val="00F6315E"/>
    <w:rsid w:val="00F651B2"/>
    <w:rsid w:val="00F71E32"/>
    <w:rsid w:val="00F74844"/>
    <w:rsid w:val="00F820D0"/>
    <w:rsid w:val="00F9292E"/>
    <w:rsid w:val="00FA2CE9"/>
    <w:rsid w:val="00FA3B08"/>
    <w:rsid w:val="00FA5404"/>
    <w:rsid w:val="00FA6BDF"/>
    <w:rsid w:val="00FB18E7"/>
    <w:rsid w:val="00FB1BD0"/>
    <w:rsid w:val="00FB7D76"/>
    <w:rsid w:val="00FD294B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6B86-0738-4548-8ED1-DED00921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3</cp:revision>
  <cp:lastPrinted>2013-12-17T13:05:00Z</cp:lastPrinted>
  <dcterms:created xsi:type="dcterms:W3CDTF">2015-08-26T08:29:00Z</dcterms:created>
  <dcterms:modified xsi:type="dcterms:W3CDTF">2015-08-26T08:29:00Z</dcterms:modified>
</cp:coreProperties>
</file>