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 w:rsidTr="00392682">
              <w:trPr>
                <w:trHeight w:val="109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B46C88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1F27E0" w:rsidRDefault="00A713A7" w:rsidP="002921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жилого</w:t>
                  </w:r>
                  <w:r w:rsidR="002921F3" w:rsidRPr="002921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дома со встроено-пристроенными помещениями </w:t>
                  </w:r>
                  <w:bookmarkEnd w:id="0"/>
                  <w:bookmarkEnd w:id="1"/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(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этап – </w:t>
                  </w:r>
                  <w:r w:rsid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секция 1) </w:t>
                  </w:r>
                  <w:r w:rsidR="002921F3" w:rsidRPr="000470B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по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адресу г</w:t>
                  </w:r>
                  <w:proofErr w:type="gram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анкт-Петербург, поселок </w:t>
                  </w:r>
                  <w:proofErr w:type="spell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Полевая ул., участок 1, (напротив дома 12, литера А, в квартале 2А, корпус 28)</w:t>
                  </w: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74E68" w:rsidRDefault="00174E68" w:rsidP="00174E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(редакция с изменениями от</w:t>
                  </w:r>
                  <w:r w:rsidR="006A2B8F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05AEF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</w:t>
                  </w:r>
                  <w:r w:rsidR="00C554FD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3 июня</w:t>
                  </w:r>
                  <w:r w:rsidR="006A2B8F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201</w:t>
                  </w:r>
                  <w:r w:rsidR="00B7172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г.)</w:t>
                  </w:r>
                </w:p>
                <w:p w:rsidR="009F27DC" w:rsidRDefault="009F27DC" w:rsidP="002921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  <w:p w:rsidR="00A713A7" w:rsidRPr="00B46C88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г. Санкт - Петербург                                                              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</w:t>
                  </w:r>
                  <w:r w:rsidR="0045044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мая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201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</w:t>
                  </w:r>
                </w:p>
                <w:p w:rsidR="00A713A7" w:rsidRPr="00BE26B6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 Полное наименование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&lt;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1.1.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Юридический адрес: </w:t>
                  </w:r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195112, г. Санкт-Петербург, </w:t>
                  </w:r>
                  <w:proofErr w:type="spellStart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Малоохтинский</w:t>
                  </w:r>
                  <w:proofErr w:type="spellEnd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пр. д. 61А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Адрес фактического местонахождения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 19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3375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г. Санкт-Петербург, 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пл. Ал</w:t>
                  </w:r>
                  <w:proofErr w:type="gramStart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.Н</w:t>
                  </w:r>
                  <w:proofErr w:type="gramEnd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евского,д.2, лит. Е.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1.2. Режим работы застройщика: с 9.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0 до 18.00 по будням. Суббота и воскресенье - выходные. </w:t>
                  </w:r>
                </w:p>
                <w:p w:rsidR="00A713A7" w:rsidRPr="008618F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2. Информация о государственной регистрации застройщика: 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зарегистрировано МИФНС № 15 по Санкт-Петербургу, свидетельство о государственной регистрации юридического лица от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18</w:t>
                  </w:r>
                  <w:r w:rsidR="008618FC"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февраля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7668257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основной государственный регистрационный номер 1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107847044260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F74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3. Информация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 учредителях (участниках)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застройщика: 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«Норманн</w:t>
                  </w:r>
                  <w:r w:rsidR="000017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-Холдинг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- 100%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проектов нет. </w:t>
                  </w:r>
                </w:p>
                <w:p w:rsidR="00A713A7" w:rsidRPr="009F1947" w:rsidRDefault="00A713A7" w:rsidP="00652B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5. </w:t>
                  </w:r>
                  <w:r w:rsidRPr="009337B9">
                    <w:rPr>
                      <w:rFonts w:ascii="Verdana" w:eastAsia="Times New Roman" w:hAnsi="Verdana"/>
                      <w:b/>
                      <w:bCs/>
                      <w:color w:val="7E898D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</w:t>
                  </w:r>
                  <w:proofErr w:type="spell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федеральным</w:t>
                  </w:r>
                  <w:r w:rsidR="00A33106" w:rsidRPr="00A33106">
                    <w:rPr>
                      <w:rFonts w:ascii="Verdana" w:eastAsia="Times New Roman" w:hAnsi="Verdana"/>
                      <w:color w:val="FFFFFF" w:themeColor="background1"/>
                      <w:sz w:val="19"/>
                      <w:szCs w:val="19"/>
                      <w:lang w:eastAsia="ru-RU"/>
                    </w:rPr>
                    <w:t>и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законом</w:t>
                  </w:r>
                  <w:proofErr w:type="spell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 В </w:t>
                  </w:r>
                  <w:proofErr w:type="gram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соответствии</w:t>
                  </w:r>
                  <w:proofErr w:type="gram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сооружени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й прекращено с 1 января 2010 года. </w:t>
                  </w:r>
                </w:p>
                <w:p w:rsidR="00171043" w:rsidRPr="00171043" w:rsidRDefault="00A713A7" w:rsidP="00171043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6. </w:t>
                  </w:r>
                  <w:r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Финансовый результат текущего года, размер кредиторской задолженности на </w:t>
                  </w:r>
                  <w:r w:rsidR="009814C6"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F5776"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9814C6"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05AEF"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="009814C6"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005AEF"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9814C6"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5F2F0C" w:rsidRPr="00005AE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Финансовый результат на 3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03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.201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г. составил 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1 607 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тыс. руб. (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Один 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миллион 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шестьсот семь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тысяч рублей)</w:t>
                  </w:r>
                  <w:proofErr w:type="gramStart"/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.Р</w:t>
                  </w:r>
                  <w:proofErr w:type="gramEnd"/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азмер кредиторской задолженности  на 3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03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.201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г.  составил 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96 502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 тыс. руб. (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Девяносто шесть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миллионов 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пятьсот две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тысяч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и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рублей). Размер дебиторской задолженности  на 3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03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>.1</w:t>
                  </w:r>
                  <w:r w:rsidR="00005AEF" w:rsidRPr="00005AEF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г.  составил 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>1 </w:t>
                  </w:r>
                  <w:r w:rsidR="00005AEF">
                    <w:rPr>
                      <w:rFonts w:ascii="Verdana" w:hAnsi="Verdana"/>
                      <w:sz w:val="20"/>
                      <w:szCs w:val="20"/>
                    </w:rPr>
                    <w:t>198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005AEF">
                    <w:rPr>
                      <w:rFonts w:ascii="Verdana" w:hAnsi="Verdana"/>
                      <w:sz w:val="20"/>
                      <w:szCs w:val="20"/>
                    </w:rPr>
                    <w:t>042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Один миллиард </w:t>
                  </w:r>
                  <w:r w:rsidR="00005AEF">
                    <w:rPr>
                      <w:rFonts w:ascii="Verdana" w:hAnsi="Verdana"/>
                      <w:sz w:val="20"/>
                      <w:szCs w:val="20"/>
                    </w:rPr>
                    <w:t>сто девяносто восемь</w:t>
                  </w:r>
                  <w:r w:rsidR="006F5776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71043" w:rsidRPr="00005AEF">
                    <w:rPr>
                      <w:rFonts w:ascii="Verdana" w:hAnsi="Verdana"/>
                      <w:sz w:val="20"/>
                      <w:szCs w:val="20"/>
                    </w:rPr>
                    <w:t xml:space="preserve">миллионов </w:t>
                  </w:r>
                  <w:r w:rsidR="00005AEF">
                    <w:rPr>
                      <w:rFonts w:ascii="Verdana" w:hAnsi="Verdana"/>
                      <w:sz w:val="20"/>
                      <w:szCs w:val="20"/>
                    </w:rPr>
                    <w:t>сорок две</w:t>
                  </w:r>
                  <w:r w:rsidR="00171043" w:rsidRPr="00171043">
                    <w:rPr>
                      <w:rFonts w:ascii="Verdana" w:hAnsi="Verdana"/>
                      <w:color w:val="0D0D0D"/>
                      <w:sz w:val="20"/>
                      <w:szCs w:val="20"/>
                    </w:rPr>
                    <w:t xml:space="preserve"> тысяч</w:t>
                  </w:r>
                  <w:r w:rsidR="00005AEF">
                    <w:rPr>
                      <w:rFonts w:ascii="Verdana" w:hAnsi="Verdana"/>
                      <w:color w:val="0D0D0D"/>
                      <w:sz w:val="20"/>
                      <w:szCs w:val="20"/>
                    </w:rPr>
                    <w:t>и</w:t>
                  </w:r>
                  <w:r w:rsidR="006F5776">
                    <w:rPr>
                      <w:rFonts w:ascii="Verdana" w:hAnsi="Verdana"/>
                      <w:color w:val="0D0D0D"/>
                      <w:sz w:val="20"/>
                      <w:szCs w:val="20"/>
                    </w:rPr>
                    <w:t>)</w:t>
                  </w:r>
                  <w:r w:rsidR="00171043" w:rsidRPr="00171043">
                    <w:rPr>
                      <w:rFonts w:ascii="Verdana" w:hAnsi="Verdana"/>
                      <w:color w:val="0D0D0D"/>
                      <w:sz w:val="20"/>
                      <w:szCs w:val="20"/>
                    </w:rPr>
                    <w:t xml:space="preserve"> рублей</w:t>
                  </w:r>
                  <w:r w:rsidR="00171043">
                    <w:rPr>
                      <w:rFonts w:ascii="Verdana" w:hAnsi="Verdana"/>
                      <w:color w:val="0D0D0D"/>
                      <w:sz w:val="20"/>
                      <w:szCs w:val="20"/>
                    </w:rPr>
                    <w:t>.</w:t>
                  </w:r>
                </w:p>
                <w:p w:rsidR="00DB3EF8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Информация о проекте строительства</w:t>
                  </w:r>
                </w:p>
                <w:p w:rsidR="00A01240" w:rsidRPr="00C304C0" w:rsidRDefault="00DB3EF8" w:rsidP="004F0BA7">
                  <w:pPr>
                    <w:pStyle w:val="3"/>
                    <w:tabs>
                      <w:tab w:val="left" w:pos="9690"/>
                    </w:tabs>
                    <w:spacing w:after="0"/>
                    <w:ind w:left="0" w:right="51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B3EF8">
                    <w:rPr>
                      <w:rFonts w:ascii="Verdana" w:hAnsi="Verdana"/>
                      <w:sz w:val="19"/>
                      <w:szCs w:val="19"/>
                    </w:rPr>
                    <w:t>7</w:t>
                  </w:r>
                  <w:r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. Цель проекта строительства: </w:t>
                  </w:r>
                  <w:r w:rsidR="00A713A7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строительство </w:t>
                  </w:r>
                  <w:r w:rsidR="00CE1A8A" w:rsidRPr="0016461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377BE8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  <w:r w:rsidR="0001104B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  <w:r w:rsidR="00377BE8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r w:rsidR="00F625F5">
                    <w:rPr>
                      <w:rFonts w:ascii="Arial" w:hAnsi="Arial" w:cs="Arial"/>
                      <w:sz w:val="19"/>
                      <w:szCs w:val="19"/>
                    </w:rPr>
                    <w:t xml:space="preserve">18 </w:t>
                  </w:r>
                  <w:r w:rsidR="00377BE8">
                    <w:rPr>
                      <w:rFonts w:ascii="Arial" w:hAnsi="Arial" w:cs="Arial"/>
                      <w:sz w:val="19"/>
                      <w:szCs w:val="19"/>
                    </w:rPr>
                    <w:t xml:space="preserve">этажного </w:t>
                  </w:r>
                  <w:r w:rsidR="00A42AFD">
                    <w:rPr>
                      <w:rFonts w:ascii="Arial" w:hAnsi="Arial" w:cs="Arial"/>
                      <w:sz w:val="19"/>
                      <w:szCs w:val="19"/>
                    </w:rPr>
                    <w:t xml:space="preserve">(подвал, технический чердак, цокольный этаж) </w:t>
                  </w:r>
                  <w:r w:rsidR="00CE1A8A" w:rsidRPr="0016461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ногоквартирного</w:t>
                  </w:r>
                  <w:r w:rsidR="0016461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жилого 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дома</w:t>
                  </w:r>
                  <w:r w:rsidR="0066522A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со встроено-пристроенными помещениями  по адресу г</w:t>
                  </w:r>
                  <w:proofErr w:type="gramStart"/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.С</w:t>
                  </w:r>
                  <w:proofErr w:type="gramEnd"/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анкт-Петербург, поселок </w:t>
                  </w:r>
                  <w:proofErr w:type="spellStart"/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Металлострой</w:t>
                  </w:r>
                  <w:proofErr w:type="spellEnd"/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, Полевая ул., участок 1, (напротив дома 12, литера А, в квартале 2А, корпус 28)</w:t>
                  </w:r>
                  <w:r w:rsidR="00A01240">
                    <w:rPr>
                      <w:rFonts w:ascii="Verdana" w:hAnsi="Verdana"/>
                      <w:sz w:val="19"/>
                      <w:szCs w:val="19"/>
                    </w:rPr>
                    <w:t xml:space="preserve"> (далее - Объект)</w:t>
                  </w:r>
                  <w:r w:rsidR="00CE1A8A" w:rsidRPr="0016461A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  <w:r w:rsidR="0016461A" w:rsidRPr="0016461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A0124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A01240" w:rsidRPr="00E26DED">
                    <w:rPr>
                      <w:rFonts w:ascii="Verdana" w:hAnsi="Verdana"/>
                      <w:sz w:val="19"/>
                      <w:szCs w:val="19"/>
                    </w:rPr>
                    <w:t>Проектной документацией предусмотрено строительство</w:t>
                  </w:r>
                  <w:r w:rsidR="00A01240">
                    <w:rPr>
                      <w:rFonts w:ascii="Verdana" w:hAnsi="Verdana"/>
                      <w:sz w:val="19"/>
                      <w:szCs w:val="19"/>
                    </w:rPr>
                    <w:t xml:space="preserve"> Объекта следующими этапами: </w:t>
                  </w:r>
                </w:p>
                <w:p w:rsidR="00A01240" w:rsidRPr="00A01240" w:rsidRDefault="00A01240" w:rsidP="00A01240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этап – 1 секция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>;</w:t>
                  </w:r>
                </w:p>
                <w:p w:rsidR="00A01240" w:rsidRDefault="00A01240" w:rsidP="00A01240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lastRenderedPageBreak/>
                    <w:t>II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этап – </w:t>
                  </w:r>
                  <w:r w:rsidR="000C1290">
                    <w:rPr>
                      <w:rFonts w:ascii="Verdana" w:hAnsi="Verdana"/>
                      <w:sz w:val="19"/>
                      <w:szCs w:val="19"/>
                    </w:rPr>
                    <w:t>жилые секции</w:t>
                  </w:r>
                  <w:r w:rsidR="000C1290" w:rsidRPr="000C129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2,3,4,5</w:t>
                  </w:r>
                  <w:r w:rsidR="00D578D0">
                    <w:rPr>
                      <w:rFonts w:ascii="Verdana" w:hAnsi="Verdana"/>
                      <w:sz w:val="19"/>
                      <w:szCs w:val="19"/>
                    </w:rPr>
                    <w:t>,</w:t>
                  </w:r>
                  <w:r w:rsidR="000C1290">
                    <w:rPr>
                      <w:rFonts w:ascii="Verdana" w:hAnsi="Verdana"/>
                      <w:sz w:val="19"/>
                      <w:szCs w:val="19"/>
                    </w:rPr>
                    <w:t xml:space="preserve"> встроено-пристроенные помещения секций и</w:t>
                  </w:r>
                  <w:r w:rsidR="005D727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proofErr w:type="gramStart"/>
                  <w:r w:rsidR="005D7270">
                    <w:rPr>
                      <w:rFonts w:ascii="Verdana" w:hAnsi="Verdana"/>
                      <w:sz w:val="19"/>
                      <w:szCs w:val="19"/>
                    </w:rPr>
                    <w:t xml:space="preserve">пристроенная </w:t>
                  </w:r>
                  <w:r w:rsidR="000C1290" w:rsidRPr="000C129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автостоянка</w:t>
                  </w:r>
                  <w:proofErr w:type="gramEnd"/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A01240" w:rsidRDefault="00A01240" w:rsidP="004F0BA7">
                  <w:pPr>
                    <w:pStyle w:val="3"/>
                    <w:spacing w:after="0"/>
                    <w:ind w:left="0" w:right="51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Разрешением на строительство предусмотрено строительство  всех этапов. Ввод в эксплуатацию будет  производиться по каждому этапу отдельно. </w:t>
                  </w:r>
                </w:p>
                <w:p w:rsidR="00A01240" w:rsidRPr="00E26DED" w:rsidRDefault="00A01240" w:rsidP="004F0BA7">
                  <w:pPr>
                    <w:pStyle w:val="3"/>
                    <w:spacing w:after="0"/>
                    <w:ind w:left="0" w:right="51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этап</w:t>
                  </w:r>
                  <w:r w:rsidR="00392682">
                    <w:rPr>
                      <w:rFonts w:ascii="Verdana" w:hAnsi="Verdana"/>
                      <w:sz w:val="19"/>
                      <w:szCs w:val="19"/>
                    </w:rPr>
                    <w:t xml:space="preserve"> – секция 1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включает в себя </w:t>
                  </w:r>
                  <w:r w:rsidR="001A4511">
                    <w:rPr>
                      <w:rFonts w:ascii="Verdana" w:hAnsi="Verdana"/>
                      <w:sz w:val="19"/>
                      <w:szCs w:val="19"/>
                    </w:rPr>
                    <w:t xml:space="preserve">строительство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13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-этажного жилого дома (включая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под</w:t>
                  </w:r>
                  <w:r w:rsidR="001A4511">
                    <w:rPr>
                      <w:rFonts w:ascii="Verdana" w:hAnsi="Verdana"/>
                      <w:sz w:val="19"/>
                      <w:szCs w:val="19"/>
                    </w:rPr>
                    <w:t>вал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)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со встроено-</w:t>
                  </w:r>
                  <w:proofErr w:type="gramStart"/>
                  <w:r>
                    <w:rPr>
                      <w:rFonts w:ascii="Verdana" w:hAnsi="Verdana"/>
                      <w:sz w:val="19"/>
                      <w:szCs w:val="19"/>
                    </w:rPr>
                    <w:t>пристроенными  поме</w:t>
                  </w:r>
                  <w:r w:rsidRPr="005D7270">
                    <w:rPr>
                      <w:rFonts w:ascii="Verdana" w:hAnsi="Verdana"/>
                      <w:sz w:val="19"/>
                      <w:szCs w:val="19"/>
                    </w:rPr>
                    <w:t>ще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ниями</w:t>
                  </w:r>
                  <w:proofErr w:type="gramEnd"/>
                  <w:r w:rsidR="005D7270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  <w:r w:rsidR="001A4511">
                    <w:rPr>
                      <w:rFonts w:ascii="Verdana" w:hAnsi="Verdana"/>
                      <w:sz w:val="19"/>
                      <w:szCs w:val="19"/>
                    </w:rPr>
                    <w:t xml:space="preserve"> Ж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илой дом – односекционный, многоквартирный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 с нижним техническим этажом (подвал), первым этажом с входной группой, 10 жилыми этажами и верхним техническим этажом (технический чердак)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016CC9" w:rsidRPr="00CE1A8A" w:rsidRDefault="00DB3EF8" w:rsidP="00DB3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i/>
                      <w:color w:val="FF0000"/>
                      <w:sz w:val="19"/>
                      <w:szCs w:val="19"/>
                      <w:lang w:eastAsia="ru-RU"/>
                    </w:rPr>
                  </w:pPr>
                  <w:r w:rsidRPr="00CE1A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E1A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</w:t>
                  </w:r>
                  <w:r w:rsidR="00016CC9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Начало строительства </w:t>
                  </w:r>
                  <w:r w:rsidR="0011684F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52460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852460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852460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r w:rsidR="007A1A33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852460"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1684F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016CC9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016CC9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.1.2. Окончание строительства: - </w:t>
                  </w:r>
                  <w:proofErr w:type="gramStart"/>
                  <w:r w:rsidR="00DC7D36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7D3E76" w:rsidRPr="00852460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7D3E76" w:rsidRPr="00852460">
                    <w:t xml:space="preserve">  квартал</w:t>
                  </w:r>
                  <w:proofErr w:type="gramEnd"/>
                  <w:r w:rsidR="007D3E76" w:rsidRPr="00852460">
                    <w:t xml:space="preserve"> 201</w:t>
                  </w:r>
                  <w:r w:rsidR="00DC7D36">
                    <w:t>4</w:t>
                  </w:r>
                  <w:r w:rsidR="007D3E76" w:rsidRPr="00852460">
                    <w:t xml:space="preserve"> года</w:t>
                  </w:r>
                  <w:r w:rsidR="00016CC9"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CE1A8A">
                    <w:rPr>
                      <w:rFonts w:ascii="Verdana" w:eastAsia="Times New Roman" w:hAnsi="Verdana"/>
                      <w:i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972910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="00016CC9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78-1-</w:t>
                  </w:r>
                  <w:r w:rsidR="000F54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0F54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0257-12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04</w:t>
                  </w:r>
                  <w:r w:rsidR="00194495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194495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</w:t>
                  </w:r>
                  <w:r w:rsidR="00600F3D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022F6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="00016CC9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Разрешение на строительство № </w:t>
                  </w:r>
                  <w:r w:rsidR="00833505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</w:t>
                  </w:r>
                  <w:r w:rsidR="00C533D7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0600392</w:t>
                  </w:r>
                  <w:r w:rsidR="009F27D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C533D7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-2011</w:t>
                  </w:r>
                  <w:r w:rsidR="00016CC9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9F27D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15 мая </w:t>
                  </w:r>
                  <w:r w:rsidR="00833505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C533D7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11684F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016CC9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</w:t>
                  </w:r>
                  <w:r w:rsidR="00016CC9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 </w:t>
                  </w:r>
                  <w:r w:rsidR="002162F1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1C2AC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 октября</w:t>
                  </w:r>
                  <w:r w:rsidR="00833505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2162F1" w:rsidRPr="002162F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11684F" w:rsidRPr="00B34E56"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1684F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года</w:t>
                  </w:r>
                  <w:r w:rsidR="00630AA8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464FB4" w:rsidRPr="00881211" w:rsidRDefault="00F3397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Земельный участок находится в аренде у застройщика на основании:</w:t>
                  </w:r>
                  <w:r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Постановления Правительства Санкт-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Петербурга </w:t>
                  </w:r>
                  <w:r w:rsidR="00225E9B" w:rsidRPr="00881211">
                    <w:rPr>
                      <w:rFonts w:ascii="Verdana" w:hAnsi="Verdana" w:cs="Arial"/>
                      <w:sz w:val="19"/>
                      <w:szCs w:val="19"/>
                    </w:rPr>
                    <w:t xml:space="preserve"> от 19.10.10г. № 1413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г., </w:t>
                  </w:r>
                  <w:r w:rsidR="00413CEE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Договора </w:t>
                  </w:r>
                  <w:r w:rsidR="00A4641B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аренды земельно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</w:t>
                  </w:r>
                  <w:r w:rsidR="00A4641B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участка на инвестиционных условиях</w:t>
                  </w:r>
                  <w:r w:rsidR="00413CEE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225E9B" w:rsidRPr="00881211">
                    <w:rPr>
                      <w:rFonts w:ascii="Verdana" w:hAnsi="Verdana" w:cs="Arial"/>
                      <w:sz w:val="19"/>
                      <w:szCs w:val="19"/>
                    </w:rPr>
                    <w:t>№ 06/ЗКС-03325 от 26.12.2010г</w:t>
                  </w:r>
                  <w:r w:rsidR="0065064D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464FB4" w:rsidRPr="0029305C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Cs/>
                      <w:sz w:val="19"/>
                      <w:szCs w:val="19"/>
                      <w:lang w:eastAsia="ru-RU"/>
                    </w:rPr>
                    <w:t xml:space="preserve">12. </w:t>
                  </w:r>
                  <w:r w:rsidR="00464FB4" w:rsidRPr="00464FB4">
                    <w:rPr>
                      <w:rFonts w:ascii="Verdana" w:eastAsia="Times New Roman" w:hAnsi="Verdana"/>
                      <w:bCs/>
                      <w:sz w:val="19"/>
                      <w:szCs w:val="19"/>
                      <w:lang w:eastAsia="ru-RU"/>
                    </w:rPr>
                    <w:t>Собственник земельного участка:</w:t>
                  </w:r>
                  <w:r w:rsidR="00464FB4" w:rsidRPr="0029305C">
                    <w:rPr>
                      <w:rFonts w:ascii="Verdana" w:eastAsia="Times New Roman" w:hAnsi="Verdana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64FB4"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город Санкт-Петербург.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Земельный участок площадью 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15144</w:t>
                  </w:r>
                  <w:r w:rsidR="00A00ED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кадастровый номер - № 78: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37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17414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C13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ограничен: </w:t>
                  </w:r>
                </w:p>
                <w:p w:rsidR="00016CC9" w:rsidRPr="00F84DEE" w:rsidRDefault="006506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 север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– проектируемым проездом местного значения, проходящего вдоль существующей жилой застройкой</w:t>
                  </w:r>
                  <w:r w:rsidR="00016CC9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F84DE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юга 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– 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проектируемым проездом местного значения,  отделяющего жилую застройку от стадиона «Искра»</w:t>
                  </w:r>
                  <w:r w:rsidR="0065563D" w:rsidRP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65563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 </w:t>
                  </w:r>
                  <w:r w:rsid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запада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–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«красными линиями» Полевой улицы</w:t>
                  </w:r>
                  <w:r w:rsidR="0065563D" w:rsidRP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</w:p>
                <w:p w:rsidR="00016CC9" w:rsidRPr="00F84DEE" w:rsidRDefault="0065563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востока – «красными линиями» Садовой улицы. </w:t>
                  </w:r>
                  <w:r w:rsidR="00016CC9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0A280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016CC9" w:rsidRPr="000A2805" w:rsidRDefault="002C03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Площадки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для игр детей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 отдыха взрослого населения 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490EBA" w:rsidRPr="00621244">
                    <w:rPr>
                      <w:rFonts w:cs="Arial"/>
                      <w:szCs w:val="24"/>
                    </w:rPr>
                    <w:t>в том числе на части эксплуатируемой кровли автостоянки</w:t>
                  </w:r>
                  <w:r w:rsidR="00490EBA">
                    <w:rPr>
                      <w:rFonts w:cs="Arial"/>
                      <w:szCs w:val="24"/>
                    </w:rPr>
                    <w:t>)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 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физкультурные площадки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набивным покрытием</w:t>
                  </w:r>
                  <w:r w:rsidR="00380D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сполагаются на прилегающих участках в соответствии с утвержденным проектном планировки.</w:t>
                  </w:r>
                  <w:proofErr w:type="gramEnd"/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Для удобств</w:t>
                  </w:r>
                  <w:r w:rsidR="00C33E77"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прохода населения вокруг дома запроектированы тротуары. </w:t>
                  </w:r>
                  <w:r w:rsidR="00380D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Предусмотрена посадка деревьев и кустарников, а также установка малых архитектурных  форм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Местоположение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F1486" w:rsidRDefault="00016CC9" w:rsidP="000F148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Строящийся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 по адресу: </w:t>
                  </w:r>
                  <w:r w:rsidR="00413CEE"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F1486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 xml:space="preserve">поселок </w:t>
                  </w:r>
                  <w:proofErr w:type="spellStart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, Полевая ул., участок 1, (напротив дома 12, литера</w:t>
                  </w:r>
                  <w:proofErr w:type="gramStart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 xml:space="preserve"> А</w:t>
                  </w:r>
                  <w:proofErr w:type="gramEnd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, в квартале 2А, корпус 28)</w:t>
                  </w:r>
                  <w:r w:rsidR="000F1486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  <w:r w:rsidR="000F1486"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Ближайш</w:t>
                  </w:r>
                  <w:r w:rsid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F148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Рыбацкая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C3A6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      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этапа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а также описание технических характеристик указанных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самостоятельных частей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9D4C12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Общая площадь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Объекта со встроенными помещениями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45 406,0 кв.м., из них кв.м. в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этапе</w:t>
                  </w:r>
                  <w:r w:rsid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9D4C1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секци</w:t>
                  </w:r>
                  <w:r w:rsidR="0014732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1 - </w:t>
                  </w:r>
                  <w:r w:rsidR="001F3D2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4110,7 кв.м. 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Общая площадь квартир в Объекте – 28 956,93 кв.м., из них – 25</w:t>
                  </w:r>
                  <w:r w:rsidR="003464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76,55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в </w:t>
                  </w:r>
                  <w:r w:rsidR="00373AB2" w:rsidRP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373AB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этапе</w:t>
                  </w:r>
                  <w:r w:rsid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373AB2"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секци</w:t>
                  </w:r>
                  <w:r w:rsidR="0014732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="00373AB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1.</w:t>
                  </w:r>
                  <w:r w:rsid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End"/>
                </w:p>
                <w:p w:rsidR="00016CC9" w:rsidRPr="00D95DF8" w:rsidRDefault="00600F3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Общее количество квартир 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 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этапе</w:t>
                  </w:r>
                  <w:r w:rsidR="003926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секци</w:t>
                  </w:r>
                  <w:r w:rsidR="0014732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 1</w:t>
                  </w:r>
                  <w:r w:rsidR="00373AB2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016CC9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 </w:t>
                  </w:r>
                  <w:r w:rsidR="00651123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70</w:t>
                  </w:r>
                  <w:r w:rsidR="00016CC9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шт., в том числе: </w:t>
                  </w:r>
                </w:p>
                <w:p w:rsidR="00016CC9" w:rsidRPr="00D95D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однокомнатные - </w:t>
                  </w:r>
                  <w:r w:rsidR="00651123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51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Pr="00D95D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двухкомнатные - </w:t>
                  </w:r>
                  <w:r w:rsidR="00651123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E622DD" w:rsidRPr="00D95D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C57B7A" w:rsidRPr="00D95DF8" w:rsidRDefault="00C57B7A" w:rsidP="00C57B7A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1-комнатные от 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27,60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до 3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08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(с учетом балконов/лоджий); </w:t>
                  </w:r>
                </w:p>
                <w:p w:rsidR="00C57B7A" w:rsidRPr="00D95DF8" w:rsidRDefault="00C57B7A" w:rsidP="00C57B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2-комнатные от 54,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49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до </w:t>
                  </w:r>
                  <w:r w:rsidR="007733FE"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56,32 к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в.м. (с учетом балконов/лоджий). </w:t>
                  </w:r>
                </w:p>
                <w:p w:rsidR="002162F1" w:rsidRPr="009B559D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</w:t>
                  </w:r>
                  <w:r w:rsidR="00F4551F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подвальном</w:t>
                  </w:r>
                  <w:r w:rsidR="00201D2E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этаже</w:t>
                  </w: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расположены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инженерно-технические помещения: две насосные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14,1кв</w:t>
                  </w:r>
                  <w:proofErr w:type="gramStart"/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11,4 кв.м),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водомерный узел (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15,4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2162F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9B559D" w:rsidRPr="009B559D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первом этаже расположены</w:t>
                  </w:r>
                  <w:r w:rsidR="00696FE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встроенные помещения </w:t>
                  </w:r>
                  <w:r w:rsid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– офис 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152,</w:t>
                  </w:r>
                  <w:r w:rsidR="006A4EC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</w:t>
                  </w:r>
                  <w:proofErr w:type="gramStart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F53622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тамбур (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2,9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коридор (25,</w:t>
                  </w:r>
                  <w:r w:rsid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</w:t>
                  </w:r>
                  <w:r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95DF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кладовая</w:t>
                  </w:r>
                  <w:r w:rsidR="00BD2FBF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12,</w:t>
                  </w:r>
                  <w:r w:rsid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95DF8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r w:rsidR="005926F4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</w:t>
                  </w:r>
                  <w:r w:rsidR="00D95DF8" w:rsidRP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BD2FBF" w:rsidRP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4F6D9D" w:rsidRP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B559D" w:rsidRP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офисные помещения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19,</w:t>
                  </w:r>
                  <w:r w:rsid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 и 23,</w:t>
                  </w:r>
                  <w:r w:rsid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кв.м.), комнат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персонала (3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27,</w:t>
                  </w:r>
                  <w:r w:rsid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санузлы (3,</w:t>
                  </w:r>
                  <w:r w:rsidR="004F6D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 и 3.</w:t>
                  </w:r>
                  <w:r w:rsidR="00F370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кв.м.)</w:t>
                  </w:r>
                  <w:r w:rsidR="009B559D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также следующие помещения жилого дома: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помещения ТСЖ 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тамбур (2,4 кв.м.), холл ( 14,4 кв</w:t>
                  </w:r>
                  <w:proofErr w:type="gramStart"/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 диспетчерский пункт (30,3 кв.м), коридор (9,3 кв.м), санузел (3,6 кв.м),кладовая (8.7 кв.м)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9B559D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тамбур (3,3 кв</w:t>
                  </w:r>
                  <w:proofErr w:type="gramStart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r w:rsid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вестибюль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лифтовым холлом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(16,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помещение </w:t>
                  </w:r>
                  <w:proofErr w:type="spellStart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консъержа</w:t>
                  </w:r>
                  <w:proofErr w:type="spellEnd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(13,2 кв.м.) 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санузлом (2,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кв.м.),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помещение уборочного инвентаря (2 кв.м.), </w:t>
                  </w:r>
                  <w:proofErr w:type="spellStart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мусорокамера</w:t>
                  </w:r>
                  <w:proofErr w:type="spellEnd"/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(6,1 кв.м.). лестница Л-1 (14,1 кв.м.), </w:t>
                  </w:r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электрощитовая</w:t>
                  </w:r>
                  <w:proofErr w:type="spellEnd"/>
                  <w:r w:rsidR="00610011" w:rsidRPr="009B559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(16,</w:t>
                  </w:r>
                  <w:r w:rsidR="006100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 кв.м),техническое помещение (28,1кв.м.).</w:t>
                  </w:r>
                </w:p>
                <w:p w:rsidR="00834369" w:rsidRPr="00E26DED" w:rsidRDefault="00834369" w:rsidP="008343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B4F6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 второго</w:t>
                  </w:r>
                  <w:r w:rsidRPr="00C13F6E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 д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венадцатый </w:t>
                  </w:r>
                  <w:r w:rsidRP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этажи расположены квартиры.</w:t>
                  </w:r>
                </w:p>
                <w:p w:rsidR="00BD2FBF" w:rsidRPr="00D95DF8" w:rsidRDefault="00D95D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="00BD2FBF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техническом </w:t>
                  </w:r>
                  <w:proofErr w:type="gramStart"/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чердаке</w:t>
                  </w:r>
                  <w:proofErr w:type="gramEnd"/>
                  <w:r w:rsidR="00BD2FBF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</w:t>
                  </w:r>
                  <w:r w:rsid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BD2FBF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вентиляционная камера подпора в</w:t>
                  </w:r>
                  <w:r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="00BD2FBF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здуха в шахту лифта</w:t>
                  </w:r>
                  <w:r w:rsid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(12,94 кв.м)</w:t>
                  </w:r>
                  <w:r w:rsidR="00A871A0" w:rsidRPr="00C11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D95DF8" w:rsidRPr="00D95DF8" w:rsidRDefault="00D95D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Цокольный этаж запроектирован во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II</w:t>
                  </w:r>
                  <w:r w:rsidRPr="00D95D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этапе. </w:t>
                  </w:r>
                </w:p>
                <w:p w:rsidR="005D7270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встроен</w:t>
                  </w:r>
                  <w:r w:rsidR="00321E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о-пристроенные 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помещения</w:t>
                  </w:r>
                  <w:r w:rsidR="005D727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99083B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Состав общего имущества в 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секции 1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.1. Лестниц</w:t>
                  </w:r>
                  <w:r w:rsidR="00214BE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Холл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</w:t>
                  </w:r>
                  <w:r w:rsidR="00C333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ой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холл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7D3E76" w:rsidRPr="008B3D30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B3D30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B3D30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насосн</w:t>
                  </w:r>
                  <w:r w:rsidR="008A2D2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водомерный уз</w:t>
                  </w:r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ел, </w:t>
                  </w:r>
                  <w:proofErr w:type="spellStart"/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венткамеры</w:t>
                  </w:r>
                  <w:proofErr w:type="spellEnd"/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</w:t>
                  </w:r>
                  <w:r w:rsidR="00C333A5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шахт</w:t>
                  </w:r>
                  <w:r w:rsidR="00C333A5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972910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технический этаж</w:t>
                  </w:r>
                  <w:r w:rsidR="00F33452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 пр.;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proofErr w:type="spellStart"/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ВиК</w:t>
                  </w:r>
                  <w:proofErr w:type="spellEnd"/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электроосвещение, сети с</w:t>
                  </w:r>
                  <w:r w:rsidR="001D37E5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вязи и телекоммуникаций, лифт 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 пр.;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.5. </w:t>
                  </w:r>
                  <w:r w:rsidR="00026616"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Pr="00A9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016CC9" w:rsidRPr="00B46C88" w:rsidRDefault="00016CC9" w:rsidP="00AD059B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Предполагаемый срок получения разрешения на ввод в эксплуатацию строящегося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многоквартирного дома</w:t>
                  </w:r>
                  <w:r w:rsidR="008A2D2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(секция 1)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946FDC" w:rsidRPr="00C304C0" w:rsidRDefault="002C449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3B2BE8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Pr="0011684F">
                    <w:t xml:space="preserve">  </w:t>
                  </w:r>
                  <w:r>
                    <w:t>квартал</w:t>
                  </w:r>
                  <w:proofErr w:type="gramEnd"/>
                  <w:r>
                    <w:t xml:space="preserve"> </w:t>
                  </w:r>
                  <w:r w:rsidRPr="007D3E76">
                    <w:t>201</w:t>
                  </w:r>
                  <w:r w:rsidR="003B2BE8" w:rsidRPr="000E1874">
                    <w:t>4</w:t>
                  </w:r>
                  <w:r>
                    <w:t xml:space="preserve"> года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111E0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B46C88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Застройщик - ООО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65217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111E0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83436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Заказчик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Проектировщик - ООО &lt;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Студия М</w:t>
                  </w:r>
                  <w:proofErr w:type="gramStart"/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proofErr w:type="gramEnd"/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подрядчик -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7D4653" w:rsidRDefault="0036447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Администрация </w:t>
                  </w:r>
                  <w:proofErr w:type="spellStart"/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Колпинского</w:t>
                  </w:r>
                  <w:proofErr w:type="spellEnd"/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района Санкт-Петербурга;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Служба государственного строительного надзора Санкт-Петербурга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Возможные финансовые и прочие риски при осуществлении проекта строительства: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B46C88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1D37E5" w:rsidRPr="001D37E5" w:rsidRDefault="001D37E5" w:rsidP="001D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1D37E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Меры по добровольному страхованию застройщиком финансовых и прочих рисков: 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Договор страхования строительно-монтажных рисков (гражданской ответственности перед третьими лицами) от </w:t>
                  </w:r>
                  <w:r w:rsidR="00FB11C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04.07.2011 № 11184</w:t>
                  </w:r>
                  <w:r w:rsidR="00FB11C0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D</w:t>
                  </w:r>
                  <w:r w:rsidR="00FB11C0" w:rsidRPr="003C07B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0031645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заключенный со Страховым Открытым Акционерным Обществом «ВСК».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40D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Согласно смете проекта строительства </w:t>
                  </w:r>
                  <w:r w:rsidR="004E47F3" w:rsidRPr="00F40D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40D27" w:rsidRPr="00F40D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105 683 072</w:t>
                  </w:r>
                  <w:r w:rsidRPr="00F40D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рублей.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0B5D25" w:rsidRPr="008050D1" w:rsidRDefault="000B5D25" w:rsidP="000B5D25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ЗАО  &lt;Статика-Инжиниринг&gt; - устройство свайного основания из буронабивных свай;</w:t>
                  </w:r>
                </w:p>
                <w:p w:rsidR="000B5D25" w:rsidRPr="008050D1" w:rsidRDefault="000B5D25" w:rsidP="000B5D25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&lt;Строительная компания </w:t>
                  </w:r>
                  <w:r w:rsidR="0082019D"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ФМ</w:t>
                  </w:r>
                  <w:r w:rsidR="0082019D"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- земляные работы; </w:t>
                  </w:r>
                </w:p>
                <w:p w:rsidR="000B5D25" w:rsidRPr="008050D1" w:rsidRDefault="000B5D25" w:rsidP="008A3E1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&lt;Петербургская строительная компания&gt; - устройство монолитного каркаса и монтаж сборных ЖБК</w:t>
                  </w:r>
                  <w:r w:rsidR="0044574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устройство наружных стен</w:t>
                  </w: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 </w:t>
                  </w:r>
                </w:p>
                <w:p w:rsidR="0082019D" w:rsidRPr="00C304C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2019D" w:rsidRPr="00B46C88" w:rsidRDefault="0082019D" w:rsidP="008201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F93C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аренды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&lt;О</w:t>
                  </w:r>
                  <w:proofErr w:type="gram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акты Российской Федерации&gt;.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Default="00C3175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 заключались</w:t>
                  </w:r>
                </w:p>
                <w:p w:rsidR="00C60D0B" w:rsidRPr="00B46C88" w:rsidRDefault="00C60D0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</w:p>
                <w:p w:rsidR="00016CC9" w:rsidRPr="00B46C88" w:rsidRDefault="00B46C88" w:rsidP="00465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465EE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702F1F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                    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Копытин Н.Л.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  <w:tr w:rsidR="00DB3EF8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BE26B6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016CC9" w:rsidRPr="00B46C88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Pr="00B46C88" w:rsidRDefault="003C4AE8" w:rsidP="00B46C88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46C8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9A" w:rsidRDefault="00C04A9A" w:rsidP="00055D0E">
      <w:pPr>
        <w:spacing w:after="0" w:line="240" w:lineRule="auto"/>
      </w:pPr>
      <w:r>
        <w:separator/>
      </w:r>
    </w:p>
  </w:endnote>
  <w:endnote w:type="continuationSeparator" w:id="0">
    <w:p w:rsidR="00C04A9A" w:rsidRDefault="00C04A9A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E" w:rsidRDefault="00D33B76">
    <w:pPr>
      <w:pStyle w:val="a7"/>
      <w:jc w:val="center"/>
    </w:pPr>
    <w:fldSimple w:instr=" PAGE   \* MERGEFORMAT ">
      <w:r w:rsidR="00C554FD">
        <w:rPr>
          <w:noProof/>
        </w:rPr>
        <w:t>1</w:t>
      </w:r>
    </w:fldSimple>
  </w:p>
  <w:p w:rsidR="007F184E" w:rsidRDefault="007F18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9A" w:rsidRDefault="00C04A9A" w:rsidP="00055D0E">
      <w:pPr>
        <w:spacing w:after="0" w:line="240" w:lineRule="auto"/>
      </w:pPr>
      <w:r>
        <w:separator/>
      </w:r>
    </w:p>
  </w:footnote>
  <w:footnote w:type="continuationSeparator" w:id="0">
    <w:p w:rsidR="00C04A9A" w:rsidRDefault="00C04A9A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0174D"/>
    <w:rsid w:val="00005AEF"/>
    <w:rsid w:val="00005B8E"/>
    <w:rsid w:val="0001104B"/>
    <w:rsid w:val="00016CC9"/>
    <w:rsid w:val="00017B87"/>
    <w:rsid w:val="0002370E"/>
    <w:rsid w:val="00026616"/>
    <w:rsid w:val="000268CA"/>
    <w:rsid w:val="00030AAF"/>
    <w:rsid w:val="000374B3"/>
    <w:rsid w:val="000423B6"/>
    <w:rsid w:val="00046931"/>
    <w:rsid w:val="000470BF"/>
    <w:rsid w:val="00052E39"/>
    <w:rsid w:val="00055D0E"/>
    <w:rsid w:val="00091998"/>
    <w:rsid w:val="00094D3F"/>
    <w:rsid w:val="00096794"/>
    <w:rsid w:val="000974CA"/>
    <w:rsid w:val="000A1259"/>
    <w:rsid w:val="000A2805"/>
    <w:rsid w:val="000B32A9"/>
    <w:rsid w:val="000B5D25"/>
    <w:rsid w:val="000B7CDD"/>
    <w:rsid w:val="000C1290"/>
    <w:rsid w:val="000C391A"/>
    <w:rsid w:val="000C3A68"/>
    <w:rsid w:val="000D0C15"/>
    <w:rsid w:val="000D43E1"/>
    <w:rsid w:val="000E1874"/>
    <w:rsid w:val="000F1486"/>
    <w:rsid w:val="000F26B7"/>
    <w:rsid w:val="000F5482"/>
    <w:rsid w:val="00110170"/>
    <w:rsid w:val="00111E06"/>
    <w:rsid w:val="001152AA"/>
    <w:rsid w:val="0011684F"/>
    <w:rsid w:val="0012305B"/>
    <w:rsid w:val="00132C05"/>
    <w:rsid w:val="00147321"/>
    <w:rsid w:val="0016461A"/>
    <w:rsid w:val="00164A66"/>
    <w:rsid w:val="001659C6"/>
    <w:rsid w:val="00170261"/>
    <w:rsid w:val="00171043"/>
    <w:rsid w:val="00174E68"/>
    <w:rsid w:val="00176EB7"/>
    <w:rsid w:val="00186A5B"/>
    <w:rsid w:val="0018741E"/>
    <w:rsid w:val="00194495"/>
    <w:rsid w:val="001A4511"/>
    <w:rsid w:val="001C2AC5"/>
    <w:rsid w:val="001D37E5"/>
    <w:rsid w:val="001E1C2B"/>
    <w:rsid w:val="001E689F"/>
    <w:rsid w:val="001F27E0"/>
    <w:rsid w:val="001F3D2E"/>
    <w:rsid w:val="00201D2E"/>
    <w:rsid w:val="0020598E"/>
    <w:rsid w:val="00207A8A"/>
    <w:rsid w:val="00214BE3"/>
    <w:rsid w:val="002162F1"/>
    <w:rsid w:val="00224E07"/>
    <w:rsid w:val="00225E9B"/>
    <w:rsid w:val="00226768"/>
    <w:rsid w:val="00233D89"/>
    <w:rsid w:val="00242BFF"/>
    <w:rsid w:val="00245E74"/>
    <w:rsid w:val="0024796F"/>
    <w:rsid w:val="002536D0"/>
    <w:rsid w:val="00253FFC"/>
    <w:rsid w:val="0025472B"/>
    <w:rsid w:val="0025528A"/>
    <w:rsid w:val="002625D4"/>
    <w:rsid w:val="00264AD6"/>
    <w:rsid w:val="00280C4B"/>
    <w:rsid w:val="002921F3"/>
    <w:rsid w:val="002A0750"/>
    <w:rsid w:val="002B34BB"/>
    <w:rsid w:val="002C03DD"/>
    <w:rsid w:val="002C1E22"/>
    <w:rsid w:val="002C3CDF"/>
    <w:rsid w:val="002C449E"/>
    <w:rsid w:val="002C5820"/>
    <w:rsid w:val="002E6004"/>
    <w:rsid w:val="002E78D9"/>
    <w:rsid w:val="002F229D"/>
    <w:rsid w:val="002F64E9"/>
    <w:rsid w:val="002F6603"/>
    <w:rsid w:val="00306DB0"/>
    <w:rsid w:val="00321E12"/>
    <w:rsid w:val="00324E11"/>
    <w:rsid w:val="00333434"/>
    <w:rsid w:val="003372D1"/>
    <w:rsid w:val="003375F6"/>
    <w:rsid w:val="00343E78"/>
    <w:rsid w:val="0034643C"/>
    <w:rsid w:val="00350B44"/>
    <w:rsid w:val="0036361B"/>
    <w:rsid w:val="0036447A"/>
    <w:rsid w:val="00373AB2"/>
    <w:rsid w:val="00377280"/>
    <w:rsid w:val="00377BE8"/>
    <w:rsid w:val="00380D82"/>
    <w:rsid w:val="0038370C"/>
    <w:rsid w:val="003916D7"/>
    <w:rsid w:val="00392682"/>
    <w:rsid w:val="003974EF"/>
    <w:rsid w:val="003A6B9C"/>
    <w:rsid w:val="003B271A"/>
    <w:rsid w:val="003B2BE8"/>
    <w:rsid w:val="003C4AE8"/>
    <w:rsid w:val="003C4C75"/>
    <w:rsid w:val="003F4F00"/>
    <w:rsid w:val="003F7434"/>
    <w:rsid w:val="00402A7F"/>
    <w:rsid w:val="00404B8C"/>
    <w:rsid w:val="00407A98"/>
    <w:rsid w:val="00413CEE"/>
    <w:rsid w:val="00415E81"/>
    <w:rsid w:val="004170FE"/>
    <w:rsid w:val="0044574C"/>
    <w:rsid w:val="0045044B"/>
    <w:rsid w:val="004534BB"/>
    <w:rsid w:val="00454C09"/>
    <w:rsid w:val="004602CB"/>
    <w:rsid w:val="004614A5"/>
    <w:rsid w:val="00461FB6"/>
    <w:rsid w:val="0046309B"/>
    <w:rsid w:val="00464FB4"/>
    <w:rsid w:val="004659B3"/>
    <w:rsid w:val="00465EEA"/>
    <w:rsid w:val="004742C2"/>
    <w:rsid w:val="004854C9"/>
    <w:rsid w:val="00486158"/>
    <w:rsid w:val="004907AA"/>
    <w:rsid w:val="00490EBA"/>
    <w:rsid w:val="00491C7A"/>
    <w:rsid w:val="004954BC"/>
    <w:rsid w:val="004A3F6B"/>
    <w:rsid w:val="004A4C61"/>
    <w:rsid w:val="004D2F58"/>
    <w:rsid w:val="004E47F3"/>
    <w:rsid w:val="004E4B0F"/>
    <w:rsid w:val="004E4CA6"/>
    <w:rsid w:val="004E5C1C"/>
    <w:rsid w:val="004F0BA7"/>
    <w:rsid w:val="004F18CB"/>
    <w:rsid w:val="004F6D9D"/>
    <w:rsid w:val="0050221B"/>
    <w:rsid w:val="00503F80"/>
    <w:rsid w:val="00513B0F"/>
    <w:rsid w:val="00521E8E"/>
    <w:rsid w:val="0052395D"/>
    <w:rsid w:val="0052679B"/>
    <w:rsid w:val="00527274"/>
    <w:rsid w:val="005301DC"/>
    <w:rsid w:val="00546E02"/>
    <w:rsid w:val="00553067"/>
    <w:rsid w:val="00554729"/>
    <w:rsid w:val="00564A87"/>
    <w:rsid w:val="005703A1"/>
    <w:rsid w:val="00575C4E"/>
    <w:rsid w:val="00577CF4"/>
    <w:rsid w:val="005865AA"/>
    <w:rsid w:val="00587033"/>
    <w:rsid w:val="005926F4"/>
    <w:rsid w:val="00592836"/>
    <w:rsid w:val="00592A19"/>
    <w:rsid w:val="00592B10"/>
    <w:rsid w:val="005939E4"/>
    <w:rsid w:val="005A2C75"/>
    <w:rsid w:val="005A4569"/>
    <w:rsid w:val="005C02E1"/>
    <w:rsid w:val="005C7AB4"/>
    <w:rsid w:val="005D3D31"/>
    <w:rsid w:val="005D7270"/>
    <w:rsid w:val="005E0370"/>
    <w:rsid w:val="005F2F0C"/>
    <w:rsid w:val="00600F3D"/>
    <w:rsid w:val="00610011"/>
    <w:rsid w:val="00630AA8"/>
    <w:rsid w:val="00631D23"/>
    <w:rsid w:val="0065064D"/>
    <w:rsid w:val="00651123"/>
    <w:rsid w:val="00652176"/>
    <w:rsid w:val="00652B7D"/>
    <w:rsid w:val="0065563D"/>
    <w:rsid w:val="0066522A"/>
    <w:rsid w:val="0067562E"/>
    <w:rsid w:val="00681F6E"/>
    <w:rsid w:val="00696FE8"/>
    <w:rsid w:val="00697301"/>
    <w:rsid w:val="006A2B8F"/>
    <w:rsid w:val="006A4ECE"/>
    <w:rsid w:val="006B70EE"/>
    <w:rsid w:val="006C3498"/>
    <w:rsid w:val="006D15BB"/>
    <w:rsid w:val="006F0E6E"/>
    <w:rsid w:val="006F1615"/>
    <w:rsid w:val="006F2882"/>
    <w:rsid w:val="006F5776"/>
    <w:rsid w:val="006F6CFE"/>
    <w:rsid w:val="00702F1F"/>
    <w:rsid w:val="00703FAB"/>
    <w:rsid w:val="00707342"/>
    <w:rsid w:val="00715462"/>
    <w:rsid w:val="0072167D"/>
    <w:rsid w:val="007306FC"/>
    <w:rsid w:val="00732E61"/>
    <w:rsid w:val="00733F8F"/>
    <w:rsid w:val="00741560"/>
    <w:rsid w:val="007517F7"/>
    <w:rsid w:val="007733FE"/>
    <w:rsid w:val="0077651A"/>
    <w:rsid w:val="00787F53"/>
    <w:rsid w:val="00790B62"/>
    <w:rsid w:val="0079423A"/>
    <w:rsid w:val="007A1A33"/>
    <w:rsid w:val="007B3021"/>
    <w:rsid w:val="007B4F66"/>
    <w:rsid w:val="007B7A02"/>
    <w:rsid w:val="007C2DFB"/>
    <w:rsid w:val="007C779C"/>
    <w:rsid w:val="007D2C41"/>
    <w:rsid w:val="007D3E76"/>
    <w:rsid w:val="007D4653"/>
    <w:rsid w:val="007D58B6"/>
    <w:rsid w:val="007F184E"/>
    <w:rsid w:val="007F2C0F"/>
    <w:rsid w:val="00802C86"/>
    <w:rsid w:val="008032FA"/>
    <w:rsid w:val="0080477B"/>
    <w:rsid w:val="008050D1"/>
    <w:rsid w:val="0082019D"/>
    <w:rsid w:val="008333AD"/>
    <w:rsid w:val="00833505"/>
    <w:rsid w:val="00834369"/>
    <w:rsid w:val="00834C55"/>
    <w:rsid w:val="0085222D"/>
    <w:rsid w:val="00852460"/>
    <w:rsid w:val="00854EE6"/>
    <w:rsid w:val="008618FC"/>
    <w:rsid w:val="00877BB5"/>
    <w:rsid w:val="00881211"/>
    <w:rsid w:val="00891777"/>
    <w:rsid w:val="008A2D26"/>
    <w:rsid w:val="008A3E1D"/>
    <w:rsid w:val="008B3D30"/>
    <w:rsid w:val="008B3FBF"/>
    <w:rsid w:val="008E1A44"/>
    <w:rsid w:val="008E2A85"/>
    <w:rsid w:val="008F5F84"/>
    <w:rsid w:val="00910620"/>
    <w:rsid w:val="0091330B"/>
    <w:rsid w:val="00920245"/>
    <w:rsid w:val="00923F56"/>
    <w:rsid w:val="00934C1F"/>
    <w:rsid w:val="00935A7B"/>
    <w:rsid w:val="0094464B"/>
    <w:rsid w:val="009451D1"/>
    <w:rsid w:val="00946FDC"/>
    <w:rsid w:val="00952320"/>
    <w:rsid w:val="009529B8"/>
    <w:rsid w:val="00953E6D"/>
    <w:rsid w:val="009615D4"/>
    <w:rsid w:val="00972910"/>
    <w:rsid w:val="00974E5D"/>
    <w:rsid w:val="009770C8"/>
    <w:rsid w:val="00981292"/>
    <w:rsid w:val="009814C6"/>
    <w:rsid w:val="009819EE"/>
    <w:rsid w:val="0099083B"/>
    <w:rsid w:val="009A0290"/>
    <w:rsid w:val="009A5B72"/>
    <w:rsid w:val="009A79E8"/>
    <w:rsid w:val="009B559D"/>
    <w:rsid w:val="009D04F4"/>
    <w:rsid w:val="009D4C12"/>
    <w:rsid w:val="009F27DC"/>
    <w:rsid w:val="009F58ED"/>
    <w:rsid w:val="00A00013"/>
    <w:rsid w:val="00A00ED9"/>
    <w:rsid w:val="00A01240"/>
    <w:rsid w:val="00A132FF"/>
    <w:rsid w:val="00A14EA0"/>
    <w:rsid w:val="00A32D1D"/>
    <w:rsid w:val="00A33106"/>
    <w:rsid w:val="00A33EC8"/>
    <w:rsid w:val="00A42AFD"/>
    <w:rsid w:val="00A4549A"/>
    <w:rsid w:val="00A45F66"/>
    <w:rsid w:val="00A4641B"/>
    <w:rsid w:val="00A50C75"/>
    <w:rsid w:val="00A51053"/>
    <w:rsid w:val="00A67F34"/>
    <w:rsid w:val="00A713A7"/>
    <w:rsid w:val="00A76098"/>
    <w:rsid w:val="00A84DC6"/>
    <w:rsid w:val="00A871A0"/>
    <w:rsid w:val="00A93BE9"/>
    <w:rsid w:val="00AA27D2"/>
    <w:rsid w:val="00AA3499"/>
    <w:rsid w:val="00AA38A2"/>
    <w:rsid w:val="00AB6964"/>
    <w:rsid w:val="00AC2FE4"/>
    <w:rsid w:val="00AC5097"/>
    <w:rsid w:val="00AD059B"/>
    <w:rsid w:val="00AD0E84"/>
    <w:rsid w:val="00AD4D87"/>
    <w:rsid w:val="00B00EC7"/>
    <w:rsid w:val="00B020C5"/>
    <w:rsid w:val="00B022F6"/>
    <w:rsid w:val="00B10CD5"/>
    <w:rsid w:val="00B13F55"/>
    <w:rsid w:val="00B174EA"/>
    <w:rsid w:val="00B2264F"/>
    <w:rsid w:val="00B30DB8"/>
    <w:rsid w:val="00B34E56"/>
    <w:rsid w:val="00B46C88"/>
    <w:rsid w:val="00B71721"/>
    <w:rsid w:val="00B72234"/>
    <w:rsid w:val="00B822B8"/>
    <w:rsid w:val="00B921F0"/>
    <w:rsid w:val="00B96E23"/>
    <w:rsid w:val="00B97BE2"/>
    <w:rsid w:val="00BB724D"/>
    <w:rsid w:val="00BC1786"/>
    <w:rsid w:val="00BC2639"/>
    <w:rsid w:val="00BC717C"/>
    <w:rsid w:val="00BD105B"/>
    <w:rsid w:val="00BD2287"/>
    <w:rsid w:val="00BD2FBF"/>
    <w:rsid w:val="00BE0EFA"/>
    <w:rsid w:val="00BE26B6"/>
    <w:rsid w:val="00BF14D4"/>
    <w:rsid w:val="00BF4724"/>
    <w:rsid w:val="00C04A9A"/>
    <w:rsid w:val="00C1133A"/>
    <w:rsid w:val="00C13765"/>
    <w:rsid w:val="00C13F6E"/>
    <w:rsid w:val="00C220BF"/>
    <w:rsid w:val="00C2460A"/>
    <w:rsid w:val="00C304C0"/>
    <w:rsid w:val="00C31710"/>
    <w:rsid w:val="00C3175D"/>
    <w:rsid w:val="00C333A5"/>
    <w:rsid w:val="00C33E77"/>
    <w:rsid w:val="00C3625B"/>
    <w:rsid w:val="00C45BB0"/>
    <w:rsid w:val="00C533D7"/>
    <w:rsid w:val="00C554FD"/>
    <w:rsid w:val="00C55A37"/>
    <w:rsid w:val="00C57B7A"/>
    <w:rsid w:val="00C60D0B"/>
    <w:rsid w:val="00C929DE"/>
    <w:rsid w:val="00CA62FB"/>
    <w:rsid w:val="00CB12ED"/>
    <w:rsid w:val="00CC379A"/>
    <w:rsid w:val="00CC5BEE"/>
    <w:rsid w:val="00CD1145"/>
    <w:rsid w:val="00CD1401"/>
    <w:rsid w:val="00CD4529"/>
    <w:rsid w:val="00CE1A8A"/>
    <w:rsid w:val="00CE50A3"/>
    <w:rsid w:val="00CF1B8D"/>
    <w:rsid w:val="00CF413A"/>
    <w:rsid w:val="00D03517"/>
    <w:rsid w:val="00D24698"/>
    <w:rsid w:val="00D33B76"/>
    <w:rsid w:val="00D416D0"/>
    <w:rsid w:val="00D41BA3"/>
    <w:rsid w:val="00D46031"/>
    <w:rsid w:val="00D51EF7"/>
    <w:rsid w:val="00D578D0"/>
    <w:rsid w:val="00D731FB"/>
    <w:rsid w:val="00D73A29"/>
    <w:rsid w:val="00D824E8"/>
    <w:rsid w:val="00D94637"/>
    <w:rsid w:val="00D95DF8"/>
    <w:rsid w:val="00DA65A8"/>
    <w:rsid w:val="00DB3EF8"/>
    <w:rsid w:val="00DB7171"/>
    <w:rsid w:val="00DC0CC4"/>
    <w:rsid w:val="00DC7BAE"/>
    <w:rsid w:val="00DC7D36"/>
    <w:rsid w:val="00DD54B0"/>
    <w:rsid w:val="00DE1AFD"/>
    <w:rsid w:val="00DE4B49"/>
    <w:rsid w:val="00DF2BF2"/>
    <w:rsid w:val="00DF661C"/>
    <w:rsid w:val="00E00C7A"/>
    <w:rsid w:val="00E0558B"/>
    <w:rsid w:val="00E12612"/>
    <w:rsid w:val="00E13BEC"/>
    <w:rsid w:val="00E20023"/>
    <w:rsid w:val="00E26DED"/>
    <w:rsid w:val="00E36D91"/>
    <w:rsid w:val="00E622DD"/>
    <w:rsid w:val="00E65713"/>
    <w:rsid w:val="00E96830"/>
    <w:rsid w:val="00E97624"/>
    <w:rsid w:val="00EA469E"/>
    <w:rsid w:val="00EA6403"/>
    <w:rsid w:val="00ED0214"/>
    <w:rsid w:val="00EE3CCD"/>
    <w:rsid w:val="00EF6291"/>
    <w:rsid w:val="00EF7B0F"/>
    <w:rsid w:val="00F0227E"/>
    <w:rsid w:val="00F059B4"/>
    <w:rsid w:val="00F235FD"/>
    <w:rsid w:val="00F2490D"/>
    <w:rsid w:val="00F30D55"/>
    <w:rsid w:val="00F33418"/>
    <w:rsid w:val="00F33452"/>
    <w:rsid w:val="00F33972"/>
    <w:rsid w:val="00F370AC"/>
    <w:rsid w:val="00F40D27"/>
    <w:rsid w:val="00F4551F"/>
    <w:rsid w:val="00F51699"/>
    <w:rsid w:val="00F53622"/>
    <w:rsid w:val="00F625F5"/>
    <w:rsid w:val="00F6315E"/>
    <w:rsid w:val="00F65D3C"/>
    <w:rsid w:val="00F820D0"/>
    <w:rsid w:val="00F82C86"/>
    <w:rsid w:val="00F84DEE"/>
    <w:rsid w:val="00F9098D"/>
    <w:rsid w:val="00F93CAF"/>
    <w:rsid w:val="00FA2D30"/>
    <w:rsid w:val="00FA3B08"/>
    <w:rsid w:val="00FB11C0"/>
    <w:rsid w:val="00FB1BD0"/>
    <w:rsid w:val="00FC3C34"/>
    <w:rsid w:val="00FC6DFC"/>
    <w:rsid w:val="00FD1354"/>
    <w:rsid w:val="00FD294B"/>
    <w:rsid w:val="00FE06AF"/>
    <w:rsid w:val="00FE297C"/>
    <w:rsid w:val="00FF16A7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0634-A9CE-43F7-B2B7-9D3E212D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4</cp:revision>
  <cp:lastPrinted>2014-03-17T10:10:00Z</cp:lastPrinted>
  <dcterms:created xsi:type="dcterms:W3CDTF">2014-06-03T09:48:00Z</dcterms:created>
  <dcterms:modified xsi:type="dcterms:W3CDTF">2014-06-03T09:49:00Z</dcterms:modified>
</cp:coreProperties>
</file>